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color w:val="102C57"/>
          <w:sz w:val="44"/>
        </w:rPr>
        <w:t>CQCconsultancy.net</w:t>
      </w:r>
      <w:r>
        <w:rPr>
          <w:rFonts w:ascii="Calibri" w:hAnsi="Calibri"/>
          <w:i/>
          <w:color w:val="0078D7"/>
          <w:sz w:val="20"/>
        </w:rPr>
        <w:t xml:space="preserve">  |  Excellence in Primary Care Compliance &amp; Inspection Readiness</w:t>
      </w:r>
    </w:p>
    <w:p>
      <w:pPr>
        <w:spacing w:after="240"/>
        <w:pBdr>
          <w:bottom w:val="single" w:sz="12" w:space="1" w:color="102C57"/>
        </w:pBdr>
      </w:pPr>
    </w:p>
    <w:p>
      <w:pPr>
        <w:spacing w:before="80" w:after="80"/>
      </w:pPr>
      <w:r>
        <w:rPr>
          <w:rFonts w:ascii="Calibri" w:hAnsi="Calibri"/>
          <w:b/>
          <w:color w:val="102C57"/>
          <w:sz w:val="36"/>
        </w:rPr>
        <w:t>CQC General Practice Inspection Readiness Checklist</w:t>
      </w:r>
    </w:p>
    <w:p>
      <w:pPr>
        <w:spacing w:after="280"/>
      </w:pPr>
      <w:r>
        <w:rPr>
          <w:i/>
          <w:color w:val="64748B"/>
          <w:sz w:val="21"/>
        </w:rPr>
        <w:t>Structured around the CQC Single Assessment Framework Key Questions &amp; Quality Statements</w:t>
      </w:r>
    </w:p>
    <w:tbl>
      <w:tblPr>
        <w:tblW w:type="auto" w:w="0"/>
        <w:jc w:val="center"/>
        <w:tblLook w:firstColumn="1" w:firstRow="1" w:lastColumn="0" w:lastRow="0" w:noHBand="0" w:noVBand="1" w:val="04A0"/>
        <w:tblBorders>
          <w:top w:val="single" w:sz="4" w:space="0" w:color="E2E8F0"/>
          <w:bottom w:val="single" w:sz="4" w:space="0" w:color="E2E8F0"/>
          <w:insideH w:val="single" w:sz="4" w:space="0" w:color="E2E8F0"/>
          <w:insideV w:val="none"/>
          <w:left w:val="none"/>
          <w:right w:val="none"/>
        </w:tblBorders>
      </w:tblPr>
      <w:tblGrid>
        <w:gridCol w:w="2520"/>
        <w:gridCol w:w="2520"/>
        <w:gridCol w:w="2520"/>
        <w:gridCol w:w="2520"/>
      </w:tblGrid>
      <w:tr>
        <w:trPr>
          <w:cantSplit/>
        </w:trPr>
        <w:tc>
          <w:tcPr>
            <w:tcW w:type="dxa" w:w="2160"/>
            <w:tcMar>
              <w:top w:w="60" w:type="dxa"/>
              <w:bottom w:w="60" w:type="dxa"/>
              <w:left w:w="80" w:type="dxa"/>
              <w:right w:w="80" w:type="dxa"/>
            </w:tcMar>
            <w:shd w:fill="F8FAFC"/>
          </w:tcPr>
          <w:p>
            <w:pPr>
              <w:spacing w:after="0"/>
            </w:pPr>
            <w:r>
              <w:rPr>
                <w:b/>
                <w:color w:val="102C57"/>
                <w:sz w:val="19"/>
              </w:rPr>
              <w:t>Practice Name:</w:t>
            </w:r>
          </w:p>
        </w:tc>
        <w:tc>
          <w:tcPr>
            <w:tcW w:type="dxa" w:w="2880"/>
            <w:tcMar>
              <w:top w:w="60" w:type="dxa"/>
              <w:bottom w:w="60" w:type="dxa"/>
              <w:left w:w="80" w:type="dxa"/>
              <w:right w:w="80" w:type="dxa"/>
            </w:tcMar>
            <w:shd w:fill="F8FAFC"/>
          </w:tcPr>
          <w:p>
            <w:pPr>
              <w:spacing w:after="0"/>
            </w:pPr>
            <w:r>
              <w:rPr>
                <w:b w:val="0"/>
                <w:sz w:val="19"/>
              </w:rPr>
            </w:r>
          </w:p>
        </w:tc>
        <w:tc>
          <w:tcPr>
            <w:tcW w:type="dxa" w:w="2160"/>
            <w:tcMar>
              <w:top w:w="60" w:type="dxa"/>
              <w:bottom w:w="60" w:type="dxa"/>
              <w:left w:w="80" w:type="dxa"/>
              <w:right w:w="80" w:type="dxa"/>
            </w:tcMar>
            <w:shd w:fill="F8FAFC"/>
          </w:tcPr>
          <w:p>
            <w:pPr>
              <w:spacing w:after="0"/>
            </w:pPr>
            <w:r>
              <w:rPr>
                <w:b/>
                <w:color w:val="102C57"/>
                <w:sz w:val="19"/>
              </w:rPr>
              <w:t>Assessment Date:</w:t>
            </w:r>
          </w:p>
        </w:tc>
        <w:tc>
          <w:tcPr>
            <w:tcW w:type="dxa" w:w="2880"/>
            <w:tcMar>
              <w:top w:w="60" w:type="dxa"/>
              <w:bottom w:w="60" w:type="dxa"/>
              <w:left w:w="80" w:type="dxa"/>
              <w:right w:w="80" w:type="dxa"/>
            </w:tcMar>
            <w:shd w:fill="F8FAFC"/>
          </w:tcPr>
          <w:p>
            <w:pPr>
              <w:spacing w:after="0"/>
            </w:pPr>
            <w:r>
              <w:rPr>
                <w:b w:val="0"/>
                <w:sz w:val="19"/>
              </w:rPr>
            </w:r>
          </w:p>
        </w:tc>
      </w:tr>
      <w:tr>
        <w:trPr>
          <w:cantSplit/>
        </w:trPr>
        <w:tc>
          <w:tcPr>
            <w:tcW w:type="dxa" w:w="2160"/>
            <w:tcMar>
              <w:top w:w="60" w:type="dxa"/>
              <w:bottom w:w="60" w:type="dxa"/>
              <w:left w:w="80" w:type="dxa"/>
              <w:right w:w="80" w:type="dxa"/>
            </w:tcMar>
            <w:shd w:fill="F8FAFC"/>
          </w:tcPr>
          <w:p>
            <w:pPr>
              <w:spacing w:after="0"/>
            </w:pPr>
            <w:r>
              <w:rPr>
                <w:b/>
                <w:color w:val="102C57"/>
                <w:sz w:val="19"/>
              </w:rPr>
              <w:t>Lead Inspector / Lead GP:</w:t>
            </w:r>
          </w:p>
        </w:tc>
        <w:tc>
          <w:tcPr>
            <w:tcW w:type="dxa" w:w="2880"/>
            <w:tcMar>
              <w:top w:w="60" w:type="dxa"/>
              <w:bottom w:w="60" w:type="dxa"/>
              <w:left w:w="80" w:type="dxa"/>
              <w:right w:w="80" w:type="dxa"/>
            </w:tcMar>
            <w:shd w:fill="F8FAFC"/>
          </w:tcPr>
          <w:p>
            <w:pPr>
              <w:spacing w:after="0"/>
            </w:pPr>
            <w:r>
              <w:rPr>
                <w:b w:val="0"/>
                <w:sz w:val="19"/>
              </w:rPr>
            </w:r>
          </w:p>
        </w:tc>
        <w:tc>
          <w:tcPr>
            <w:tcW w:type="dxa" w:w="2160"/>
            <w:tcMar>
              <w:top w:w="60" w:type="dxa"/>
              <w:bottom w:w="60" w:type="dxa"/>
              <w:left w:w="80" w:type="dxa"/>
              <w:right w:w="80" w:type="dxa"/>
            </w:tcMar>
            <w:shd w:fill="F8FAFC"/>
          </w:tcPr>
          <w:p>
            <w:pPr>
              <w:spacing w:after="0"/>
            </w:pPr>
            <w:r>
              <w:rPr>
                <w:b/>
                <w:color w:val="102C57"/>
                <w:sz w:val="19"/>
              </w:rPr>
              <w:t>Overall Status:</w:t>
            </w:r>
          </w:p>
        </w:tc>
        <w:tc>
          <w:tcPr>
            <w:tcW w:type="dxa" w:w="2880"/>
            <w:tcMar>
              <w:top w:w="60" w:type="dxa"/>
              <w:bottom w:w="60" w:type="dxa"/>
              <w:left w:w="80" w:type="dxa"/>
              <w:right w:w="80" w:type="dxa"/>
            </w:tcMar>
            <w:shd w:fill="F8FAFC"/>
          </w:tcPr>
          <w:p>
            <w:pPr>
              <w:spacing w:after="0"/>
            </w:pPr>
            <w:r>
              <w:rPr>
                <w:b w:val="0"/>
                <w:sz w:val="19"/>
              </w:rPr>
              <w:t>[  ] Ready   [  ] Action Needed</w:t>
            </w:r>
          </w:p>
        </w:tc>
      </w:tr>
    </w:tbl>
    <w:p>
      <w:pPr>
        <w:spacing w:after="200"/>
      </w:pPr>
    </w:p>
    <w:p>
      <w:pPr>
        <w:spacing w:after="280"/>
      </w:pPr>
      <w:r>
        <w:rPr>
          <w:sz w:val="19"/>
        </w:rPr>
        <w:t>Instructions: Use this comprehensive checklist supplied by CQCconsultancy.net to audit your General Practice prior to CQC provider calls, site visits, or evidence requests. Ensure all statutory records, policies, clinical audits, and staff training logs are up to date and readily accessible.</w:t>
      </w:r>
    </w:p>
    <w:p>
      <w:pPr>
        <w:keepNext/>
        <w:spacing w:before="280" w:after="120"/>
      </w:pPr>
      <w:r>
        <w:rPr>
          <w:b/>
          <w:color w:val="102C57"/>
          <w:sz w:val="26"/>
        </w:rPr>
        <w:t>1. SAFE (Key Question)</w:t>
      </w:r>
    </w:p>
    <w:tbl>
      <w:tblPr>
        <w:tblW w:type="auto" w:w="0"/>
        <w:jc w:val="center"/>
        <w:tblLook w:firstColumn="1" w:firstRow="1" w:lastColumn="0" w:lastRow="0" w:noHBand="0" w:noVBand="1" w:val="04A0"/>
        <w:tblBorders>
          <w:top w:val="single" w:sz="4" w:space="0" w:color="D1D5DB"/>
          <w:bottom w:val="single" w:sz="4" w:space="0" w:color="D1D5DB"/>
          <w:insideH w:val="single" w:sz="4" w:space="0" w:color="D1D5DB"/>
          <w:insideV w:val="none"/>
          <w:left w:val="none"/>
          <w:right w:val="none"/>
        </w:tblBorders>
      </w:tblPr>
      <w:tblGrid>
        <w:gridCol w:w="2520"/>
        <w:gridCol w:w="2520"/>
        <w:gridCol w:w="2520"/>
        <w:gridCol w:w="2520"/>
      </w:tblGrid>
      <w:tr>
        <w:trPr>
          <w:tblHeader/>
          <w:cantSplit/>
        </w:trPr>
        <w:tc>
          <w:tcPr>
            <w:tcW w:type="dxa" w:w="2592"/>
            <w:shd w:fill="102C57"/>
            <w:tcMar>
              <w:top w:w="100" w:type="dxa"/>
              <w:bottom w:w="100" w:type="dxa"/>
              <w:left w:w="100" w:type="dxa"/>
              <w:right w:w="100" w:type="dxa"/>
            </w:tcMar>
          </w:tcPr>
          <w:p>
            <w:pPr>
              <w:keepNext/>
              <w:spacing w:after="0"/>
            </w:pPr>
            <w:r>
              <w:rPr>
                <w:b/>
                <w:color w:val="FFFFFF"/>
                <w:sz w:val="19"/>
              </w:rPr>
              <w:t>Quality Statement / Domain</w:t>
            </w:r>
          </w:p>
        </w:tc>
        <w:tc>
          <w:tcPr>
            <w:tcW w:type="dxa" w:w="4608"/>
            <w:shd w:fill="102C57"/>
            <w:tcMar>
              <w:top w:w="100" w:type="dxa"/>
              <w:bottom w:w="100" w:type="dxa"/>
              <w:left w:w="100" w:type="dxa"/>
              <w:right w:w="100" w:type="dxa"/>
            </w:tcMar>
          </w:tcPr>
          <w:p>
            <w:pPr>
              <w:keepNext/>
              <w:spacing w:after="0"/>
            </w:pPr>
            <w:r>
              <w:rPr>
                <w:b/>
                <w:color w:val="FFFFFF"/>
                <w:sz w:val="19"/>
              </w:rPr>
              <w:t>Compliance Requirement &amp; Evidence Standard</w:t>
            </w:r>
          </w:p>
        </w:tc>
        <w:tc>
          <w:tcPr>
            <w:tcW w:type="dxa" w:w="1152"/>
            <w:shd w:fill="102C57"/>
            <w:tcMar>
              <w:top w:w="100" w:type="dxa"/>
              <w:bottom w:w="100" w:type="dxa"/>
              <w:left w:w="100" w:type="dxa"/>
              <w:right w:w="100" w:type="dxa"/>
            </w:tcMar>
          </w:tcPr>
          <w:p>
            <w:pPr>
              <w:keepNext/>
              <w:spacing w:after="0"/>
            </w:pPr>
            <w:r>
              <w:rPr>
                <w:b/>
                <w:color w:val="FFFFFF"/>
                <w:sz w:val="19"/>
              </w:rPr>
              <w:t>Priority</w:t>
            </w:r>
          </w:p>
        </w:tc>
        <w:tc>
          <w:tcPr>
            <w:tcW w:type="dxa" w:w="1728"/>
            <w:shd w:fill="102C57"/>
            <w:tcMar>
              <w:top w:w="100" w:type="dxa"/>
              <w:bottom w:w="100" w:type="dxa"/>
              <w:left w:w="100" w:type="dxa"/>
              <w:right w:w="100" w:type="dxa"/>
            </w:tcMar>
          </w:tcPr>
          <w:p>
            <w:pPr>
              <w:keepNext/>
              <w:spacing w:after="0"/>
            </w:pPr>
            <w:r>
              <w:rPr>
                <w:b/>
                <w:color w:val="FFFFFF"/>
                <w:sz w:val="19"/>
              </w:rPr>
              <w:t>Status / Notes</w:t>
            </w:r>
          </w:p>
        </w:tc>
      </w:tr>
      <w:tr>
        <w:trPr>
          <w:cantSplit/>
        </w:trPr>
        <w:tc>
          <w:tcPr>
            <w:tcW w:type="dxa" w:w="2592"/>
            <w:shd w:fill="FFFFFF"/>
            <w:tcMar>
              <w:top w:w="80" w:type="dxa"/>
              <w:bottom w:w="80" w:type="dxa"/>
              <w:left w:w="100" w:type="dxa"/>
              <w:right w:w="100" w:type="dxa"/>
            </w:tcMar>
          </w:tcPr>
          <w:p>
            <w:pPr>
              <w:spacing w:after="0"/>
            </w:pPr>
            <w:r>
              <w:rPr>
                <w:b/>
                <w:sz w:val="18"/>
              </w:rPr>
              <w:t>Safe Systems, Pathways &amp; Transitions</w:t>
            </w:r>
          </w:p>
        </w:tc>
        <w:tc>
          <w:tcPr>
            <w:tcW w:type="dxa" w:w="4608"/>
            <w:shd w:fill="FFFFFF"/>
            <w:tcMar>
              <w:top w:w="80" w:type="dxa"/>
              <w:bottom w:w="80" w:type="dxa"/>
              <w:left w:w="100" w:type="dxa"/>
              <w:right w:w="100" w:type="dxa"/>
            </w:tcMar>
          </w:tcPr>
          <w:p>
            <w:pPr>
              <w:spacing w:after="0"/>
            </w:pPr>
            <w:r>
              <w:rPr>
                <w:sz w:val="18"/>
              </w:rPr>
              <w:t>Is there a robust process for managing clinical correspondence, discharge summaries, and test results within 48 hours?</w:t>
            </w:r>
          </w:p>
        </w:tc>
        <w:tc>
          <w:tcPr>
            <w:tcW w:type="dxa" w:w="1152"/>
            <w:shd w:fill="FFFFFF"/>
            <w:tcMar>
              <w:top w:w="80" w:type="dxa"/>
              <w:bottom w:w="80" w:type="dxa"/>
              <w:left w:w="60" w:type="dxa"/>
              <w:right w:w="60" w:type="dxa"/>
            </w:tcMar>
          </w:tcPr>
          <w:p>
            <w:pPr>
              <w:spacing w:after="0"/>
              <w:jc w:val="center"/>
            </w:pPr>
            <w:r>
              <w:rPr>
                <w:b/>
                <w:color w:val="C2410C"/>
                <w:sz w:val="17"/>
              </w:rPr>
              <w:t>High</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Safeguarding Adults &amp; Children</w:t>
            </w:r>
          </w:p>
        </w:tc>
        <w:tc>
          <w:tcPr>
            <w:tcW w:type="dxa" w:w="4608"/>
            <w:shd w:fill="F4F6F9"/>
            <w:tcMar>
              <w:top w:w="80" w:type="dxa"/>
              <w:bottom w:w="80" w:type="dxa"/>
              <w:left w:w="100" w:type="dxa"/>
              <w:right w:w="100" w:type="dxa"/>
            </w:tcMar>
          </w:tcPr>
          <w:p>
            <w:pPr>
              <w:spacing w:after="0"/>
            </w:pPr>
            <w:r>
              <w:rPr>
                <w:sz w:val="18"/>
              </w:rPr>
              <w:t>Are Level 3 Safeguarding trained leads appointed (GPs/Nurses)? Are staff DBS checked and clear on reporting procedures?</w:t>
            </w:r>
          </w:p>
        </w:tc>
        <w:tc>
          <w:tcPr>
            <w:tcW w:type="dxa" w:w="1152"/>
            <w:shd w:fill="F4F6F9"/>
            <w:tcMar>
              <w:top w:w="80" w:type="dxa"/>
              <w:bottom w:w="80" w:type="dxa"/>
              <w:left w:w="60" w:type="dxa"/>
              <w:right w:w="60" w:type="dxa"/>
            </w:tcMar>
          </w:tcPr>
          <w:p>
            <w:pPr>
              <w:spacing w:after="0"/>
              <w:jc w:val="center"/>
            </w:pPr>
            <w:r>
              <w:rPr>
                <w:b/>
                <w:color w:val="C2410C"/>
                <w:sz w:val="17"/>
              </w:rPr>
              <w:t>High</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Infection Prevention &amp; Control (IPC)</w:t>
            </w:r>
          </w:p>
        </w:tc>
        <w:tc>
          <w:tcPr>
            <w:tcW w:type="dxa" w:w="4608"/>
            <w:shd w:fill="FFFFFF"/>
            <w:tcMar>
              <w:top w:w="80" w:type="dxa"/>
              <w:bottom w:w="80" w:type="dxa"/>
              <w:left w:w="100" w:type="dxa"/>
              <w:right w:w="100" w:type="dxa"/>
            </w:tcMar>
          </w:tcPr>
          <w:p>
            <w:pPr>
              <w:spacing w:after="0"/>
            </w:pPr>
            <w:r>
              <w:rPr>
                <w:sz w:val="18"/>
              </w:rPr>
              <w:t>Is there an up-to-date IPC annual statement, audit, Legionella risk assessment, and daily/weekly cleaning logs?</w:t>
            </w:r>
          </w:p>
        </w:tc>
        <w:tc>
          <w:tcPr>
            <w:tcW w:type="dxa" w:w="1152"/>
            <w:shd w:fill="FFFFFF"/>
            <w:tcMar>
              <w:top w:w="80" w:type="dxa"/>
              <w:bottom w:w="80" w:type="dxa"/>
              <w:left w:w="60" w:type="dxa"/>
              <w:right w:w="60" w:type="dxa"/>
            </w:tcMar>
          </w:tcPr>
          <w:p>
            <w:pPr>
              <w:spacing w:after="0"/>
              <w:jc w:val="center"/>
            </w:pPr>
            <w:r>
              <w:rPr>
                <w:b/>
                <w:color w:val="C2410C"/>
                <w:sz w:val="17"/>
              </w:rPr>
              <w:t>High</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Medicines Management</w:t>
            </w:r>
          </w:p>
        </w:tc>
        <w:tc>
          <w:tcPr>
            <w:tcW w:type="dxa" w:w="4608"/>
            <w:shd w:fill="F4F6F9"/>
            <w:tcMar>
              <w:top w:w="80" w:type="dxa"/>
              <w:bottom w:w="80" w:type="dxa"/>
              <w:left w:w="100" w:type="dxa"/>
              <w:right w:w="100" w:type="dxa"/>
            </w:tcMar>
          </w:tcPr>
          <w:p>
            <w:pPr>
              <w:spacing w:after="0"/>
            </w:pPr>
            <w:r>
              <w:rPr>
                <w:sz w:val="18"/>
              </w:rPr>
              <w:t>Are high-risk drug monitoring (e.g. Lithium, Warfarin, Methotrexate) protocols active with audited emergency drugs &amp; cold-chain logs?</w:t>
            </w:r>
          </w:p>
        </w:tc>
        <w:tc>
          <w:tcPr>
            <w:tcW w:type="dxa" w:w="1152"/>
            <w:shd w:fill="F4F6F9"/>
            <w:tcMar>
              <w:top w:w="80" w:type="dxa"/>
              <w:bottom w:w="80" w:type="dxa"/>
              <w:left w:w="60" w:type="dxa"/>
              <w:right w:w="60" w:type="dxa"/>
            </w:tcMar>
          </w:tcPr>
          <w:p>
            <w:pPr>
              <w:spacing w:after="0"/>
              <w:jc w:val="center"/>
            </w:pPr>
            <w:r>
              <w:rPr>
                <w:b/>
                <w:color w:val="B91C1C"/>
                <w:sz w:val="17"/>
              </w:rPr>
              <w:t>Critical</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Safety Events &amp; Incident Reporting</w:t>
            </w:r>
          </w:p>
        </w:tc>
        <w:tc>
          <w:tcPr>
            <w:tcW w:type="dxa" w:w="4608"/>
            <w:shd w:fill="FFFFFF"/>
            <w:tcMar>
              <w:top w:w="80" w:type="dxa"/>
              <w:bottom w:w="80" w:type="dxa"/>
              <w:left w:w="100" w:type="dxa"/>
              <w:right w:w="100" w:type="dxa"/>
            </w:tcMar>
          </w:tcPr>
          <w:p>
            <w:pPr>
              <w:spacing w:after="0"/>
            </w:pPr>
            <w:r>
              <w:rPr>
                <w:sz w:val="18"/>
              </w:rPr>
              <w:t>Are significant events (SEAs) logged, investigated, discussed in practice meetings, and shared for learning?</w:t>
            </w:r>
          </w:p>
        </w:tc>
        <w:tc>
          <w:tcPr>
            <w:tcW w:type="dxa" w:w="1152"/>
            <w:shd w:fill="FFFFFF"/>
            <w:tcMar>
              <w:top w:w="80" w:type="dxa"/>
              <w:bottom w:w="80" w:type="dxa"/>
              <w:left w:w="60" w:type="dxa"/>
              <w:right w:w="60" w:type="dxa"/>
            </w:tcMar>
          </w:tcPr>
          <w:p>
            <w:pPr>
              <w:spacing w:after="0"/>
              <w:jc w:val="center"/>
            </w:pPr>
            <w:r>
              <w:rPr>
                <w:b/>
                <w:color w:val="C2410C"/>
                <w:sz w:val="17"/>
              </w:rPr>
              <w:t>High</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Premises &amp; Equipment Safety</w:t>
            </w:r>
          </w:p>
        </w:tc>
        <w:tc>
          <w:tcPr>
            <w:tcW w:type="dxa" w:w="4608"/>
            <w:shd w:fill="F4F6F9"/>
            <w:tcMar>
              <w:top w:w="80" w:type="dxa"/>
              <w:bottom w:w="80" w:type="dxa"/>
              <w:left w:w="100" w:type="dxa"/>
              <w:right w:w="100" w:type="dxa"/>
            </w:tcMar>
          </w:tcPr>
          <w:p>
            <w:pPr>
              <w:spacing w:after="0"/>
            </w:pPr>
            <w:r>
              <w:rPr>
                <w:sz w:val="18"/>
              </w:rPr>
              <w:t>Are PAT testing, fire safety risk assessments, cal-checks on medical devices, and health &amp; safety audits up to date?</w:t>
            </w:r>
          </w:p>
        </w:tc>
        <w:tc>
          <w:tcPr>
            <w:tcW w:type="dxa" w:w="1152"/>
            <w:shd w:fill="F4F6F9"/>
            <w:tcMar>
              <w:top w:w="80" w:type="dxa"/>
              <w:bottom w:w="80" w:type="dxa"/>
              <w:left w:w="60" w:type="dxa"/>
              <w:right w:w="60" w:type="dxa"/>
            </w:tcMar>
          </w:tcPr>
          <w:p>
            <w:pPr>
              <w:spacing w:after="0"/>
              <w:jc w:val="center"/>
            </w:pPr>
            <w:r>
              <w:rPr>
                <w:b/>
                <w:color w:val="475569"/>
                <w:sz w:val="17"/>
              </w:rPr>
              <w:t>Medium</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Staffing &amp; Recruitment</w:t>
            </w:r>
          </w:p>
        </w:tc>
        <w:tc>
          <w:tcPr>
            <w:tcW w:type="dxa" w:w="4608"/>
            <w:shd w:fill="FFFFFF"/>
            <w:tcMar>
              <w:top w:w="80" w:type="dxa"/>
              <w:bottom w:w="80" w:type="dxa"/>
              <w:left w:w="100" w:type="dxa"/>
              <w:right w:w="100" w:type="dxa"/>
            </w:tcMar>
          </w:tcPr>
          <w:p>
            <w:pPr>
              <w:spacing w:after="0"/>
            </w:pPr>
            <w:r>
              <w:rPr>
                <w:sz w:val="18"/>
              </w:rPr>
              <w:t>Are complete recruitment files maintained (references, qualification checks, professional registration, indemnity)?</w:t>
            </w:r>
          </w:p>
        </w:tc>
        <w:tc>
          <w:tcPr>
            <w:tcW w:type="dxa" w:w="1152"/>
            <w:shd w:fill="FFFFFF"/>
            <w:tcMar>
              <w:top w:w="80" w:type="dxa"/>
              <w:bottom w:w="80" w:type="dxa"/>
              <w:left w:w="60" w:type="dxa"/>
              <w:right w:w="60" w:type="dxa"/>
            </w:tcMar>
          </w:tcPr>
          <w:p>
            <w:pPr>
              <w:spacing w:after="0"/>
              <w:jc w:val="center"/>
            </w:pPr>
            <w:r>
              <w:rPr>
                <w:b/>
                <w:color w:val="C2410C"/>
                <w:sz w:val="17"/>
              </w:rPr>
              <w:t>High</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bl>
    <w:p>
      <w:pPr>
        <w:spacing w:after="120"/>
      </w:pPr>
    </w:p>
    <w:p>
      <w:pPr>
        <w:keepNext/>
        <w:spacing w:before="280" w:after="120"/>
      </w:pPr>
      <w:r>
        <w:rPr>
          <w:b/>
          <w:color w:val="102C57"/>
          <w:sz w:val="26"/>
        </w:rPr>
        <w:t>2. EFFECTIVE (Key Question)</w:t>
      </w:r>
    </w:p>
    <w:tbl>
      <w:tblPr>
        <w:tblW w:type="auto" w:w="0"/>
        <w:jc w:val="center"/>
        <w:tblLook w:firstColumn="1" w:firstRow="1" w:lastColumn="0" w:lastRow="0" w:noHBand="0" w:noVBand="1" w:val="04A0"/>
        <w:tblBorders>
          <w:top w:val="single" w:sz="4" w:space="0" w:color="D1D5DB"/>
          <w:bottom w:val="single" w:sz="4" w:space="0" w:color="D1D5DB"/>
          <w:insideH w:val="single" w:sz="4" w:space="0" w:color="D1D5DB"/>
          <w:insideV w:val="none"/>
          <w:left w:val="none"/>
          <w:right w:val="none"/>
        </w:tblBorders>
      </w:tblPr>
      <w:tblGrid>
        <w:gridCol w:w="2520"/>
        <w:gridCol w:w="2520"/>
        <w:gridCol w:w="2520"/>
        <w:gridCol w:w="2520"/>
      </w:tblGrid>
      <w:tr>
        <w:trPr>
          <w:tblHeader/>
          <w:cantSplit/>
        </w:trPr>
        <w:tc>
          <w:tcPr>
            <w:tcW w:type="dxa" w:w="2592"/>
            <w:shd w:fill="102C57"/>
            <w:tcMar>
              <w:top w:w="100" w:type="dxa"/>
              <w:bottom w:w="100" w:type="dxa"/>
              <w:left w:w="100" w:type="dxa"/>
              <w:right w:w="100" w:type="dxa"/>
            </w:tcMar>
          </w:tcPr>
          <w:p>
            <w:pPr>
              <w:keepNext/>
              <w:spacing w:after="0"/>
            </w:pPr>
            <w:r>
              <w:rPr>
                <w:b/>
                <w:color w:val="FFFFFF"/>
                <w:sz w:val="19"/>
              </w:rPr>
              <w:t>Quality Statement / Domain</w:t>
            </w:r>
          </w:p>
        </w:tc>
        <w:tc>
          <w:tcPr>
            <w:tcW w:type="dxa" w:w="4608"/>
            <w:shd w:fill="102C57"/>
            <w:tcMar>
              <w:top w:w="100" w:type="dxa"/>
              <w:bottom w:w="100" w:type="dxa"/>
              <w:left w:w="100" w:type="dxa"/>
              <w:right w:w="100" w:type="dxa"/>
            </w:tcMar>
          </w:tcPr>
          <w:p>
            <w:pPr>
              <w:keepNext/>
              <w:spacing w:after="0"/>
            </w:pPr>
            <w:r>
              <w:rPr>
                <w:b/>
                <w:color w:val="FFFFFF"/>
                <w:sz w:val="19"/>
              </w:rPr>
              <w:t>Compliance Requirement &amp; Evidence Standard</w:t>
            </w:r>
          </w:p>
        </w:tc>
        <w:tc>
          <w:tcPr>
            <w:tcW w:type="dxa" w:w="1152"/>
            <w:shd w:fill="102C57"/>
            <w:tcMar>
              <w:top w:w="100" w:type="dxa"/>
              <w:bottom w:w="100" w:type="dxa"/>
              <w:left w:w="100" w:type="dxa"/>
              <w:right w:w="100" w:type="dxa"/>
            </w:tcMar>
          </w:tcPr>
          <w:p>
            <w:pPr>
              <w:keepNext/>
              <w:spacing w:after="0"/>
            </w:pPr>
            <w:r>
              <w:rPr>
                <w:b/>
                <w:color w:val="FFFFFF"/>
                <w:sz w:val="19"/>
              </w:rPr>
              <w:t>Priority</w:t>
            </w:r>
          </w:p>
        </w:tc>
        <w:tc>
          <w:tcPr>
            <w:tcW w:type="dxa" w:w="1728"/>
            <w:shd w:fill="102C57"/>
            <w:tcMar>
              <w:top w:w="100" w:type="dxa"/>
              <w:bottom w:w="100" w:type="dxa"/>
              <w:left w:w="100" w:type="dxa"/>
              <w:right w:w="100" w:type="dxa"/>
            </w:tcMar>
          </w:tcPr>
          <w:p>
            <w:pPr>
              <w:keepNext/>
              <w:spacing w:after="0"/>
            </w:pPr>
            <w:r>
              <w:rPr>
                <w:b/>
                <w:color w:val="FFFFFF"/>
                <w:sz w:val="19"/>
              </w:rPr>
              <w:t>Status / Notes</w:t>
            </w:r>
          </w:p>
        </w:tc>
      </w:tr>
      <w:tr>
        <w:trPr>
          <w:cantSplit/>
        </w:trPr>
        <w:tc>
          <w:tcPr>
            <w:tcW w:type="dxa" w:w="2592"/>
            <w:shd w:fill="FFFFFF"/>
            <w:tcMar>
              <w:top w:w="80" w:type="dxa"/>
              <w:bottom w:w="80" w:type="dxa"/>
              <w:left w:w="100" w:type="dxa"/>
              <w:right w:w="100" w:type="dxa"/>
            </w:tcMar>
          </w:tcPr>
          <w:p>
            <w:pPr>
              <w:spacing w:after="0"/>
            </w:pPr>
            <w:r>
              <w:rPr>
                <w:b/>
                <w:sz w:val="18"/>
              </w:rPr>
              <w:t>Assessing Needs &amp; Evidence-based Care</w:t>
            </w:r>
          </w:p>
        </w:tc>
        <w:tc>
          <w:tcPr>
            <w:tcW w:type="dxa" w:w="4608"/>
            <w:shd w:fill="FFFFFF"/>
            <w:tcMar>
              <w:top w:w="80" w:type="dxa"/>
              <w:bottom w:w="80" w:type="dxa"/>
              <w:left w:w="100" w:type="dxa"/>
              <w:right w:w="100" w:type="dxa"/>
            </w:tcMar>
          </w:tcPr>
          <w:p>
            <w:pPr>
              <w:spacing w:after="0"/>
            </w:pPr>
            <w:r>
              <w:rPr>
                <w:sz w:val="18"/>
              </w:rPr>
              <w:t>Are NICE guidelines systematically reviewed, implemented, and audited in clinical searches and templates?</w:t>
            </w:r>
          </w:p>
        </w:tc>
        <w:tc>
          <w:tcPr>
            <w:tcW w:type="dxa" w:w="1152"/>
            <w:shd w:fill="FFFFFF"/>
            <w:tcMar>
              <w:top w:w="80" w:type="dxa"/>
              <w:bottom w:w="80" w:type="dxa"/>
              <w:left w:w="60" w:type="dxa"/>
              <w:right w:w="60" w:type="dxa"/>
            </w:tcMar>
          </w:tcPr>
          <w:p>
            <w:pPr>
              <w:spacing w:after="0"/>
              <w:jc w:val="center"/>
            </w:pPr>
            <w:r>
              <w:rPr>
                <w:b/>
                <w:color w:val="C2410C"/>
                <w:sz w:val="17"/>
              </w:rPr>
              <w:t>High</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Delivering Evidence-Based Care &amp; Treatment</w:t>
            </w:r>
          </w:p>
        </w:tc>
        <w:tc>
          <w:tcPr>
            <w:tcW w:type="dxa" w:w="4608"/>
            <w:shd w:fill="F4F6F9"/>
            <w:tcMar>
              <w:top w:w="80" w:type="dxa"/>
              <w:bottom w:w="80" w:type="dxa"/>
              <w:left w:w="100" w:type="dxa"/>
              <w:right w:w="100" w:type="dxa"/>
            </w:tcMar>
          </w:tcPr>
          <w:p>
            <w:pPr>
              <w:spacing w:after="0"/>
            </w:pPr>
            <w:r>
              <w:rPr>
                <w:sz w:val="18"/>
              </w:rPr>
              <w:t>Are QOF and IIF target metrics tracked with clear clinical coding for long-term condition reviews?</w:t>
            </w:r>
          </w:p>
        </w:tc>
        <w:tc>
          <w:tcPr>
            <w:tcW w:type="dxa" w:w="1152"/>
            <w:shd w:fill="F4F6F9"/>
            <w:tcMar>
              <w:top w:w="80" w:type="dxa"/>
              <w:bottom w:w="80" w:type="dxa"/>
              <w:left w:w="60" w:type="dxa"/>
              <w:right w:w="60" w:type="dxa"/>
            </w:tcMar>
          </w:tcPr>
          <w:p>
            <w:pPr>
              <w:spacing w:after="0"/>
              <w:jc w:val="center"/>
            </w:pPr>
            <w:r>
              <w:rPr>
                <w:b/>
                <w:color w:val="C2410C"/>
                <w:sz w:val="17"/>
              </w:rPr>
              <w:t>High</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Monitoring Outcomes &amp; Quality Improvement</w:t>
            </w:r>
          </w:p>
        </w:tc>
        <w:tc>
          <w:tcPr>
            <w:tcW w:type="dxa" w:w="4608"/>
            <w:shd w:fill="FFFFFF"/>
            <w:tcMar>
              <w:top w:w="80" w:type="dxa"/>
              <w:bottom w:w="80" w:type="dxa"/>
              <w:left w:w="100" w:type="dxa"/>
              <w:right w:w="100" w:type="dxa"/>
            </w:tcMar>
          </w:tcPr>
          <w:p>
            <w:pPr>
              <w:spacing w:after="0"/>
            </w:pPr>
            <w:r>
              <w:rPr>
                <w:sz w:val="18"/>
              </w:rPr>
              <w:t>Is there a structured 2-cycle clinical audit program operating in the practice demonstrating improved outcomes?</w:t>
            </w:r>
          </w:p>
        </w:tc>
        <w:tc>
          <w:tcPr>
            <w:tcW w:type="dxa" w:w="1152"/>
            <w:shd w:fill="FFFFFF"/>
            <w:tcMar>
              <w:top w:w="80" w:type="dxa"/>
              <w:bottom w:w="80" w:type="dxa"/>
              <w:left w:w="60" w:type="dxa"/>
              <w:right w:w="60" w:type="dxa"/>
            </w:tcMar>
          </w:tcPr>
          <w:p>
            <w:pPr>
              <w:spacing w:after="0"/>
              <w:jc w:val="center"/>
            </w:pPr>
            <w:r>
              <w:rPr>
                <w:b/>
                <w:color w:val="475569"/>
                <w:sz w:val="17"/>
              </w:rPr>
              <w:t>Medium</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Staff Skills &amp; Continuous Learning</w:t>
            </w:r>
          </w:p>
        </w:tc>
        <w:tc>
          <w:tcPr>
            <w:tcW w:type="dxa" w:w="4608"/>
            <w:shd w:fill="F4F6F9"/>
            <w:tcMar>
              <w:top w:w="80" w:type="dxa"/>
              <w:bottom w:w="80" w:type="dxa"/>
              <w:left w:w="100" w:type="dxa"/>
              <w:right w:w="100" w:type="dxa"/>
            </w:tcMar>
          </w:tcPr>
          <w:p>
            <w:pPr>
              <w:spacing w:after="0"/>
            </w:pPr>
            <w:r>
              <w:rPr>
                <w:sz w:val="18"/>
              </w:rPr>
              <w:t>Are mandatory training compliance rates (BLS, Safeguarding, Information Governance, Mental Capacity) &gt;90%?</w:t>
            </w:r>
          </w:p>
        </w:tc>
        <w:tc>
          <w:tcPr>
            <w:tcW w:type="dxa" w:w="1152"/>
            <w:shd w:fill="F4F6F9"/>
            <w:tcMar>
              <w:top w:w="80" w:type="dxa"/>
              <w:bottom w:w="80" w:type="dxa"/>
              <w:left w:w="60" w:type="dxa"/>
              <w:right w:w="60" w:type="dxa"/>
            </w:tcMar>
          </w:tcPr>
          <w:p>
            <w:pPr>
              <w:spacing w:after="0"/>
              <w:jc w:val="center"/>
            </w:pPr>
            <w:r>
              <w:rPr>
                <w:b/>
                <w:color w:val="C2410C"/>
                <w:sz w:val="17"/>
              </w:rPr>
              <w:t>High</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Supporting People to Live Healthier Lives</w:t>
            </w:r>
          </w:p>
        </w:tc>
        <w:tc>
          <w:tcPr>
            <w:tcW w:type="dxa" w:w="4608"/>
            <w:shd w:fill="FFFFFF"/>
            <w:tcMar>
              <w:top w:w="80" w:type="dxa"/>
              <w:bottom w:w="80" w:type="dxa"/>
              <w:left w:w="100" w:type="dxa"/>
              <w:right w:w="100" w:type="dxa"/>
            </w:tcMar>
          </w:tcPr>
          <w:p>
            <w:pPr>
              <w:spacing w:after="0"/>
            </w:pPr>
            <w:r>
              <w:rPr>
                <w:sz w:val="18"/>
              </w:rPr>
              <w:t>Are public health screening programs (cervical screening, bowel screening, childhood immunisations) actively monitored?</w:t>
            </w:r>
          </w:p>
        </w:tc>
        <w:tc>
          <w:tcPr>
            <w:tcW w:type="dxa" w:w="1152"/>
            <w:shd w:fill="FFFFFF"/>
            <w:tcMar>
              <w:top w:w="80" w:type="dxa"/>
              <w:bottom w:w="80" w:type="dxa"/>
              <w:left w:w="60" w:type="dxa"/>
              <w:right w:w="60" w:type="dxa"/>
            </w:tcMar>
          </w:tcPr>
          <w:p>
            <w:pPr>
              <w:spacing w:after="0"/>
              <w:jc w:val="center"/>
            </w:pPr>
            <w:r>
              <w:rPr>
                <w:b/>
                <w:color w:val="475569"/>
                <w:sz w:val="17"/>
              </w:rPr>
              <w:t>Medium</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Consent to Care &amp; Mental Capacity Act</w:t>
            </w:r>
          </w:p>
        </w:tc>
        <w:tc>
          <w:tcPr>
            <w:tcW w:type="dxa" w:w="4608"/>
            <w:shd w:fill="F4F6F9"/>
            <w:tcMar>
              <w:top w:w="80" w:type="dxa"/>
              <w:bottom w:w="80" w:type="dxa"/>
              <w:left w:w="100" w:type="dxa"/>
              <w:right w:w="100" w:type="dxa"/>
            </w:tcMar>
          </w:tcPr>
          <w:p>
            <w:pPr>
              <w:spacing w:after="0"/>
            </w:pPr>
            <w:r>
              <w:rPr>
                <w:sz w:val="18"/>
              </w:rPr>
              <w:t>Do clinical notes document clear consent, Mental Capacity Act (MCA) considerations, and Do Not Resuscitate (DNACPR) decisions?</w:t>
            </w:r>
          </w:p>
        </w:tc>
        <w:tc>
          <w:tcPr>
            <w:tcW w:type="dxa" w:w="1152"/>
            <w:shd w:fill="F4F6F9"/>
            <w:tcMar>
              <w:top w:w="80" w:type="dxa"/>
              <w:bottom w:w="80" w:type="dxa"/>
              <w:left w:w="60" w:type="dxa"/>
              <w:right w:w="60" w:type="dxa"/>
            </w:tcMar>
          </w:tcPr>
          <w:p>
            <w:pPr>
              <w:spacing w:after="0"/>
              <w:jc w:val="center"/>
            </w:pPr>
            <w:r>
              <w:rPr>
                <w:b/>
                <w:color w:val="C2410C"/>
                <w:sz w:val="17"/>
              </w:rPr>
              <w:t>High</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bl>
    <w:p>
      <w:pPr>
        <w:spacing w:after="120"/>
      </w:pPr>
    </w:p>
    <w:p>
      <w:pPr>
        <w:keepNext/>
        <w:spacing w:before="280" w:after="120"/>
      </w:pPr>
      <w:r>
        <w:rPr>
          <w:b/>
          <w:color w:val="102C57"/>
          <w:sz w:val="26"/>
        </w:rPr>
        <w:t>3. CARING (Key Question)</w:t>
      </w:r>
    </w:p>
    <w:tbl>
      <w:tblPr>
        <w:tblW w:type="auto" w:w="0"/>
        <w:jc w:val="center"/>
        <w:tblLook w:firstColumn="1" w:firstRow="1" w:lastColumn="0" w:lastRow="0" w:noHBand="0" w:noVBand="1" w:val="04A0"/>
        <w:tblBorders>
          <w:top w:val="single" w:sz="4" w:space="0" w:color="D1D5DB"/>
          <w:bottom w:val="single" w:sz="4" w:space="0" w:color="D1D5DB"/>
          <w:insideH w:val="single" w:sz="4" w:space="0" w:color="D1D5DB"/>
          <w:insideV w:val="none"/>
          <w:left w:val="none"/>
          <w:right w:val="none"/>
        </w:tblBorders>
      </w:tblPr>
      <w:tblGrid>
        <w:gridCol w:w="2520"/>
        <w:gridCol w:w="2520"/>
        <w:gridCol w:w="2520"/>
        <w:gridCol w:w="2520"/>
      </w:tblGrid>
      <w:tr>
        <w:trPr>
          <w:tblHeader/>
          <w:cantSplit/>
        </w:trPr>
        <w:tc>
          <w:tcPr>
            <w:tcW w:type="dxa" w:w="2592"/>
            <w:shd w:fill="102C57"/>
            <w:tcMar>
              <w:top w:w="100" w:type="dxa"/>
              <w:bottom w:w="100" w:type="dxa"/>
              <w:left w:w="100" w:type="dxa"/>
              <w:right w:w="100" w:type="dxa"/>
            </w:tcMar>
          </w:tcPr>
          <w:p>
            <w:pPr>
              <w:keepNext/>
              <w:spacing w:after="0"/>
            </w:pPr>
            <w:r>
              <w:rPr>
                <w:b/>
                <w:color w:val="FFFFFF"/>
                <w:sz w:val="19"/>
              </w:rPr>
              <w:t>Quality Statement / Domain</w:t>
            </w:r>
          </w:p>
        </w:tc>
        <w:tc>
          <w:tcPr>
            <w:tcW w:type="dxa" w:w="4608"/>
            <w:shd w:fill="102C57"/>
            <w:tcMar>
              <w:top w:w="100" w:type="dxa"/>
              <w:bottom w:w="100" w:type="dxa"/>
              <w:left w:w="100" w:type="dxa"/>
              <w:right w:w="100" w:type="dxa"/>
            </w:tcMar>
          </w:tcPr>
          <w:p>
            <w:pPr>
              <w:keepNext/>
              <w:spacing w:after="0"/>
            </w:pPr>
            <w:r>
              <w:rPr>
                <w:b/>
                <w:color w:val="FFFFFF"/>
                <w:sz w:val="19"/>
              </w:rPr>
              <w:t>Compliance Requirement &amp; Evidence Standard</w:t>
            </w:r>
          </w:p>
        </w:tc>
        <w:tc>
          <w:tcPr>
            <w:tcW w:type="dxa" w:w="1152"/>
            <w:shd w:fill="102C57"/>
            <w:tcMar>
              <w:top w:w="100" w:type="dxa"/>
              <w:bottom w:w="100" w:type="dxa"/>
              <w:left w:w="100" w:type="dxa"/>
              <w:right w:w="100" w:type="dxa"/>
            </w:tcMar>
          </w:tcPr>
          <w:p>
            <w:pPr>
              <w:keepNext/>
              <w:spacing w:after="0"/>
            </w:pPr>
            <w:r>
              <w:rPr>
                <w:b/>
                <w:color w:val="FFFFFF"/>
                <w:sz w:val="19"/>
              </w:rPr>
              <w:t>Priority</w:t>
            </w:r>
          </w:p>
        </w:tc>
        <w:tc>
          <w:tcPr>
            <w:tcW w:type="dxa" w:w="1728"/>
            <w:shd w:fill="102C57"/>
            <w:tcMar>
              <w:top w:w="100" w:type="dxa"/>
              <w:bottom w:w="100" w:type="dxa"/>
              <w:left w:w="100" w:type="dxa"/>
              <w:right w:w="100" w:type="dxa"/>
            </w:tcMar>
          </w:tcPr>
          <w:p>
            <w:pPr>
              <w:keepNext/>
              <w:spacing w:after="0"/>
            </w:pPr>
            <w:r>
              <w:rPr>
                <w:b/>
                <w:color w:val="FFFFFF"/>
                <w:sz w:val="19"/>
              </w:rPr>
              <w:t>Status / Notes</w:t>
            </w:r>
          </w:p>
        </w:tc>
      </w:tr>
      <w:tr>
        <w:trPr>
          <w:cantSplit/>
        </w:trPr>
        <w:tc>
          <w:tcPr>
            <w:tcW w:type="dxa" w:w="2592"/>
            <w:shd w:fill="FFFFFF"/>
            <w:tcMar>
              <w:top w:w="80" w:type="dxa"/>
              <w:bottom w:w="80" w:type="dxa"/>
              <w:left w:w="100" w:type="dxa"/>
              <w:right w:w="100" w:type="dxa"/>
            </w:tcMar>
          </w:tcPr>
          <w:p>
            <w:pPr>
              <w:spacing w:after="0"/>
            </w:pPr>
            <w:r>
              <w:rPr>
                <w:b/>
                <w:sz w:val="18"/>
              </w:rPr>
              <w:t>Kindness, Compassion &amp; Dignity</w:t>
            </w:r>
          </w:p>
        </w:tc>
        <w:tc>
          <w:tcPr>
            <w:tcW w:type="dxa" w:w="4608"/>
            <w:shd w:fill="FFFFFF"/>
            <w:tcMar>
              <w:top w:w="80" w:type="dxa"/>
              <w:bottom w:w="80" w:type="dxa"/>
              <w:left w:w="100" w:type="dxa"/>
              <w:right w:w="100" w:type="dxa"/>
            </w:tcMar>
          </w:tcPr>
          <w:p>
            <w:pPr>
              <w:spacing w:after="0"/>
            </w:pPr>
            <w:r>
              <w:rPr>
                <w:sz w:val="18"/>
              </w:rPr>
              <w:t>Do National GP Patient Survey results reflect high satisfaction for care, involvement, and dignity?</w:t>
            </w:r>
          </w:p>
        </w:tc>
        <w:tc>
          <w:tcPr>
            <w:tcW w:type="dxa" w:w="1152"/>
            <w:shd w:fill="FFFFFF"/>
            <w:tcMar>
              <w:top w:w="80" w:type="dxa"/>
              <w:bottom w:w="80" w:type="dxa"/>
              <w:left w:w="60" w:type="dxa"/>
              <w:right w:w="60" w:type="dxa"/>
            </w:tcMar>
          </w:tcPr>
          <w:p>
            <w:pPr>
              <w:spacing w:after="0"/>
              <w:jc w:val="center"/>
            </w:pPr>
            <w:r>
              <w:rPr>
                <w:b/>
                <w:color w:val="475569"/>
                <w:sz w:val="17"/>
              </w:rPr>
              <w:t>Medium</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Treating People as Individuals</w:t>
            </w:r>
          </w:p>
        </w:tc>
        <w:tc>
          <w:tcPr>
            <w:tcW w:type="dxa" w:w="4608"/>
            <w:shd w:fill="F4F6F9"/>
            <w:tcMar>
              <w:top w:w="80" w:type="dxa"/>
              <w:bottom w:w="80" w:type="dxa"/>
              <w:left w:w="100" w:type="dxa"/>
              <w:right w:w="100" w:type="dxa"/>
            </w:tcMar>
          </w:tcPr>
          <w:p>
            <w:pPr>
              <w:spacing w:after="0"/>
            </w:pPr>
            <w:r>
              <w:rPr>
                <w:sz w:val="18"/>
              </w:rPr>
              <w:t>Is there a register for carers, veterans, patients with learning disabilities, and patients requiring interpreter services?</w:t>
            </w:r>
          </w:p>
        </w:tc>
        <w:tc>
          <w:tcPr>
            <w:tcW w:type="dxa" w:w="1152"/>
            <w:shd w:fill="F4F6F9"/>
            <w:tcMar>
              <w:top w:w="80" w:type="dxa"/>
              <w:bottom w:w="80" w:type="dxa"/>
              <w:left w:w="60" w:type="dxa"/>
              <w:right w:w="60" w:type="dxa"/>
            </w:tcMar>
          </w:tcPr>
          <w:p>
            <w:pPr>
              <w:spacing w:after="0"/>
              <w:jc w:val="center"/>
            </w:pPr>
            <w:r>
              <w:rPr>
                <w:b/>
                <w:color w:val="C2410C"/>
                <w:sz w:val="17"/>
              </w:rPr>
              <w:t>High</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Independence, Choice &amp; Control</w:t>
            </w:r>
          </w:p>
        </w:tc>
        <w:tc>
          <w:tcPr>
            <w:tcW w:type="dxa" w:w="4608"/>
            <w:shd w:fill="FFFFFF"/>
            <w:tcMar>
              <w:top w:w="80" w:type="dxa"/>
              <w:bottom w:w="80" w:type="dxa"/>
              <w:left w:w="100" w:type="dxa"/>
              <w:right w:w="100" w:type="dxa"/>
            </w:tcMar>
          </w:tcPr>
          <w:p>
            <w:pPr>
              <w:spacing w:after="0"/>
            </w:pPr>
            <w:r>
              <w:rPr>
                <w:sz w:val="18"/>
              </w:rPr>
              <w:t>Are personalized care plans available for complex patients, end-of-life patients, and care home residents?</w:t>
            </w:r>
          </w:p>
        </w:tc>
        <w:tc>
          <w:tcPr>
            <w:tcW w:type="dxa" w:w="1152"/>
            <w:shd w:fill="FFFFFF"/>
            <w:tcMar>
              <w:top w:w="80" w:type="dxa"/>
              <w:bottom w:w="80" w:type="dxa"/>
              <w:left w:w="60" w:type="dxa"/>
              <w:right w:w="60" w:type="dxa"/>
            </w:tcMar>
          </w:tcPr>
          <w:p>
            <w:pPr>
              <w:spacing w:after="0"/>
              <w:jc w:val="center"/>
            </w:pPr>
            <w:r>
              <w:rPr>
                <w:b/>
                <w:color w:val="475569"/>
                <w:sz w:val="17"/>
              </w:rPr>
              <w:t>Medium</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Responding to Immediate Pain &amp; Distress</w:t>
            </w:r>
          </w:p>
        </w:tc>
        <w:tc>
          <w:tcPr>
            <w:tcW w:type="dxa" w:w="4608"/>
            <w:shd w:fill="F4F6F9"/>
            <w:tcMar>
              <w:top w:w="80" w:type="dxa"/>
              <w:bottom w:w="80" w:type="dxa"/>
              <w:left w:w="100" w:type="dxa"/>
              <w:right w:w="100" w:type="dxa"/>
            </w:tcMar>
          </w:tcPr>
          <w:p>
            <w:pPr>
              <w:spacing w:after="0"/>
            </w:pPr>
            <w:r>
              <w:rPr>
                <w:sz w:val="18"/>
              </w:rPr>
              <w:t>Is there clear triage protocol for urgent clinical requests, acute distress, and same-day access?</w:t>
            </w:r>
          </w:p>
        </w:tc>
        <w:tc>
          <w:tcPr>
            <w:tcW w:type="dxa" w:w="1152"/>
            <w:shd w:fill="F4F6F9"/>
            <w:tcMar>
              <w:top w:w="80" w:type="dxa"/>
              <w:bottom w:w="80" w:type="dxa"/>
              <w:left w:w="60" w:type="dxa"/>
              <w:right w:w="60" w:type="dxa"/>
            </w:tcMar>
          </w:tcPr>
          <w:p>
            <w:pPr>
              <w:spacing w:after="0"/>
              <w:jc w:val="center"/>
            </w:pPr>
            <w:r>
              <w:rPr>
                <w:b/>
                <w:color w:val="C2410C"/>
                <w:sz w:val="17"/>
              </w:rPr>
              <w:t>High</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bl>
    <w:p>
      <w:pPr>
        <w:spacing w:after="120"/>
      </w:pPr>
    </w:p>
    <w:p>
      <w:pPr>
        <w:keepNext/>
        <w:spacing w:before="280" w:after="120"/>
      </w:pPr>
      <w:r>
        <w:rPr>
          <w:b/>
          <w:color w:val="102C57"/>
          <w:sz w:val="26"/>
        </w:rPr>
        <w:t>4. RESPONSIVE (Key Question)</w:t>
      </w:r>
    </w:p>
    <w:tbl>
      <w:tblPr>
        <w:tblW w:type="auto" w:w="0"/>
        <w:jc w:val="center"/>
        <w:tblLook w:firstColumn="1" w:firstRow="1" w:lastColumn="0" w:lastRow="0" w:noHBand="0" w:noVBand="1" w:val="04A0"/>
        <w:tblBorders>
          <w:top w:val="single" w:sz="4" w:space="0" w:color="D1D5DB"/>
          <w:bottom w:val="single" w:sz="4" w:space="0" w:color="D1D5DB"/>
          <w:insideH w:val="single" w:sz="4" w:space="0" w:color="D1D5DB"/>
          <w:insideV w:val="none"/>
          <w:left w:val="none"/>
          <w:right w:val="none"/>
        </w:tblBorders>
      </w:tblPr>
      <w:tblGrid>
        <w:gridCol w:w="2520"/>
        <w:gridCol w:w="2520"/>
        <w:gridCol w:w="2520"/>
        <w:gridCol w:w="2520"/>
      </w:tblGrid>
      <w:tr>
        <w:trPr>
          <w:tblHeader/>
          <w:cantSplit/>
        </w:trPr>
        <w:tc>
          <w:tcPr>
            <w:tcW w:type="dxa" w:w="2592"/>
            <w:shd w:fill="102C57"/>
            <w:tcMar>
              <w:top w:w="100" w:type="dxa"/>
              <w:bottom w:w="100" w:type="dxa"/>
              <w:left w:w="100" w:type="dxa"/>
              <w:right w:w="100" w:type="dxa"/>
            </w:tcMar>
          </w:tcPr>
          <w:p>
            <w:pPr>
              <w:keepNext/>
              <w:spacing w:after="0"/>
            </w:pPr>
            <w:r>
              <w:rPr>
                <w:b/>
                <w:color w:val="FFFFFF"/>
                <w:sz w:val="19"/>
              </w:rPr>
              <w:t>Quality Statement / Domain</w:t>
            </w:r>
          </w:p>
        </w:tc>
        <w:tc>
          <w:tcPr>
            <w:tcW w:type="dxa" w:w="4608"/>
            <w:shd w:fill="102C57"/>
            <w:tcMar>
              <w:top w:w="100" w:type="dxa"/>
              <w:bottom w:w="100" w:type="dxa"/>
              <w:left w:w="100" w:type="dxa"/>
              <w:right w:w="100" w:type="dxa"/>
            </w:tcMar>
          </w:tcPr>
          <w:p>
            <w:pPr>
              <w:keepNext/>
              <w:spacing w:after="0"/>
            </w:pPr>
            <w:r>
              <w:rPr>
                <w:b/>
                <w:color w:val="FFFFFF"/>
                <w:sz w:val="19"/>
              </w:rPr>
              <w:t>Compliance Requirement &amp; Evidence Standard</w:t>
            </w:r>
          </w:p>
        </w:tc>
        <w:tc>
          <w:tcPr>
            <w:tcW w:type="dxa" w:w="1152"/>
            <w:shd w:fill="102C57"/>
            <w:tcMar>
              <w:top w:w="100" w:type="dxa"/>
              <w:bottom w:w="100" w:type="dxa"/>
              <w:left w:w="100" w:type="dxa"/>
              <w:right w:w="100" w:type="dxa"/>
            </w:tcMar>
          </w:tcPr>
          <w:p>
            <w:pPr>
              <w:keepNext/>
              <w:spacing w:after="0"/>
            </w:pPr>
            <w:r>
              <w:rPr>
                <w:b/>
                <w:color w:val="FFFFFF"/>
                <w:sz w:val="19"/>
              </w:rPr>
              <w:t>Priority</w:t>
            </w:r>
          </w:p>
        </w:tc>
        <w:tc>
          <w:tcPr>
            <w:tcW w:type="dxa" w:w="1728"/>
            <w:shd w:fill="102C57"/>
            <w:tcMar>
              <w:top w:w="100" w:type="dxa"/>
              <w:bottom w:w="100" w:type="dxa"/>
              <w:left w:w="100" w:type="dxa"/>
              <w:right w:w="100" w:type="dxa"/>
            </w:tcMar>
          </w:tcPr>
          <w:p>
            <w:pPr>
              <w:keepNext/>
              <w:spacing w:after="0"/>
            </w:pPr>
            <w:r>
              <w:rPr>
                <w:b/>
                <w:color w:val="FFFFFF"/>
                <w:sz w:val="19"/>
              </w:rPr>
              <w:t>Status / Notes</w:t>
            </w:r>
          </w:p>
        </w:tc>
      </w:tr>
      <w:tr>
        <w:trPr>
          <w:cantSplit/>
        </w:trPr>
        <w:tc>
          <w:tcPr>
            <w:tcW w:type="dxa" w:w="2592"/>
            <w:shd w:fill="FFFFFF"/>
            <w:tcMar>
              <w:top w:w="80" w:type="dxa"/>
              <w:bottom w:w="80" w:type="dxa"/>
              <w:left w:w="100" w:type="dxa"/>
              <w:right w:w="100" w:type="dxa"/>
            </w:tcMar>
          </w:tcPr>
          <w:p>
            <w:pPr>
              <w:spacing w:after="0"/>
            </w:pPr>
            <w:r>
              <w:rPr>
                <w:b/>
                <w:sz w:val="18"/>
              </w:rPr>
              <w:t>Person-Centred Care &amp; Access</w:t>
            </w:r>
          </w:p>
        </w:tc>
        <w:tc>
          <w:tcPr>
            <w:tcW w:type="dxa" w:w="4608"/>
            <w:shd w:fill="FFFFFF"/>
            <w:tcMar>
              <w:top w:w="80" w:type="dxa"/>
              <w:bottom w:w="80" w:type="dxa"/>
              <w:left w:w="100" w:type="dxa"/>
              <w:right w:w="100" w:type="dxa"/>
            </w:tcMar>
          </w:tcPr>
          <w:p>
            <w:pPr>
              <w:spacing w:after="0"/>
            </w:pPr>
            <w:r>
              <w:rPr>
                <w:sz w:val="18"/>
              </w:rPr>
              <w:t>Is phone and online booking access regularly reviewed, with action plans for patient access challenges?</w:t>
            </w:r>
          </w:p>
        </w:tc>
        <w:tc>
          <w:tcPr>
            <w:tcW w:type="dxa" w:w="1152"/>
            <w:shd w:fill="FFFFFF"/>
            <w:tcMar>
              <w:top w:w="80" w:type="dxa"/>
              <w:bottom w:w="80" w:type="dxa"/>
              <w:left w:w="60" w:type="dxa"/>
              <w:right w:w="60" w:type="dxa"/>
            </w:tcMar>
          </w:tcPr>
          <w:p>
            <w:pPr>
              <w:spacing w:after="0"/>
              <w:jc w:val="center"/>
            </w:pPr>
            <w:r>
              <w:rPr>
                <w:b/>
                <w:color w:val="C2410C"/>
                <w:sz w:val="17"/>
              </w:rPr>
              <w:t>High</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Continuity of Care</w:t>
            </w:r>
          </w:p>
        </w:tc>
        <w:tc>
          <w:tcPr>
            <w:tcW w:type="dxa" w:w="4608"/>
            <w:shd w:fill="F4F6F9"/>
            <w:tcMar>
              <w:top w:w="80" w:type="dxa"/>
              <w:bottom w:w="80" w:type="dxa"/>
              <w:left w:w="100" w:type="dxa"/>
              <w:right w:w="100" w:type="dxa"/>
            </w:tcMar>
          </w:tcPr>
          <w:p>
            <w:pPr>
              <w:spacing w:after="0"/>
            </w:pPr>
            <w:r>
              <w:rPr>
                <w:sz w:val="18"/>
              </w:rPr>
              <w:t>Are vulnerable patients assigned a named GP, and is continuity maintained for complex chronic conditions?</w:t>
            </w:r>
          </w:p>
        </w:tc>
        <w:tc>
          <w:tcPr>
            <w:tcW w:type="dxa" w:w="1152"/>
            <w:shd w:fill="F4F6F9"/>
            <w:tcMar>
              <w:top w:w="80" w:type="dxa"/>
              <w:bottom w:w="80" w:type="dxa"/>
              <w:left w:w="60" w:type="dxa"/>
              <w:right w:w="60" w:type="dxa"/>
            </w:tcMar>
          </w:tcPr>
          <w:p>
            <w:pPr>
              <w:spacing w:after="0"/>
              <w:jc w:val="center"/>
            </w:pPr>
            <w:r>
              <w:rPr>
                <w:b/>
                <w:color w:val="475569"/>
                <w:sz w:val="17"/>
              </w:rPr>
              <w:t>Medium</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Providing Information &amp; Communication</w:t>
            </w:r>
          </w:p>
        </w:tc>
        <w:tc>
          <w:tcPr>
            <w:tcW w:type="dxa" w:w="4608"/>
            <w:shd w:fill="FFFFFF"/>
            <w:tcMar>
              <w:top w:w="80" w:type="dxa"/>
              <w:bottom w:w="80" w:type="dxa"/>
              <w:left w:w="100" w:type="dxa"/>
              <w:right w:w="100" w:type="dxa"/>
            </w:tcMar>
          </w:tcPr>
          <w:p>
            <w:pPr>
              <w:spacing w:after="0"/>
            </w:pPr>
            <w:r>
              <w:rPr>
                <w:sz w:val="18"/>
              </w:rPr>
              <w:t>Does the practice comply with the Accessible Information Standard (AIS) for patients with sensory or cognitive needs?</w:t>
            </w:r>
          </w:p>
        </w:tc>
        <w:tc>
          <w:tcPr>
            <w:tcW w:type="dxa" w:w="1152"/>
            <w:shd w:fill="FFFFFF"/>
            <w:tcMar>
              <w:top w:w="80" w:type="dxa"/>
              <w:bottom w:w="80" w:type="dxa"/>
              <w:left w:w="60" w:type="dxa"/>
              <w:right w:w="60" w:type="dxa"/>
            </w:tcMar>
          </w:tcPr>
          <w:p>
            <w:pPr>
              <w:spacing w:after="0"/>
              <w:jc w:val="center"/>
            </w:pPr>
            <w:r>
              <w:rPr>
                <w:b/>
                <w:color w:val="C2410C"/>
                <w:sz w:val="17"/>
              </w:rPr>
              <w:t>High</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Listening &amp; Learning from Complaints</w:t>
            </w:r>
          </w:p>
        </w:tc>
        <w:tc>
          <w:tcPr>
            <w:tcW w:type="dxa" w:w="4608"/>
            <w:shd w:fill="F4F6F9"/>
            <w:tcMar>
              <w:top w:w="80" w:type="dxa"/>
              <w:bottom w:w="80" w:type="dxa"/>
              <w:left w:w="100" w:type="dxa"/>
              <w:right w:w="100" w:type="dxa"/>
            </w:tcMar>
          </w:tcPr>
          <w:p>
            <w:pPr>
              <w:spacing w:after="0"/>
            </w:pPr>
            <w:r>
              <w:rPr>
                <w:sz w:val="18"/>
              </w:rPr>
              <w:t>Is there an effective complaints policy, logged outcomes, trend analysis, and clear patient feedback mechanisms?</w:t>
            </w:r>
          </w:p>
        </w:tc>
        <w:tc>
          <w:tcPr>
            <w:tcW w:type="dxa" w:w="1152"/>
            <w:shd w:fill="F4F6F9"/>
            <w:tcMar>
              <w:top w:w="80" w:type="dxa"/>
              <w:bottom w:w="80" w:type="dxa"/>
              <w:left w:w="60" w:type="dxa"/>
              <w:right w:w="60" w:type="dxa"/>
            </w:tcMar>
          </w:tcPr>
          <w:p>
            <w:pPr>
              <w:spacing w:after="0"/>
              <w:jc w:val="center"/>
            </w:pPr>
            <w:r>
              <w:rPr>
                <w:b/>
                <w:color w:val="C2410C"/>
                <w:sz w:val="17"/>
              </w:rPr>
              <w:t>High</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bl>
    <w:p>
      <w:pPr>
        <w:spacing w:after="120"/>
      </w:pPr>
    </w:p>
    <w:p>
      <w:pPr>
        <w:keepNext/>
        <w:spacing w:before="280" w:after="120"/>
      </w:pPr>
      <w:r>
        <w:rPr>
          <w:b/>
          <w:color w:val="102C57"/>
          <w:sz w:val="26"/>
        </w:rPr>
        <w:t>5. WELL-LED (Key Question)</w:t>
      </w:r>
    </w:p>
    <w:tbl>
      <w:tblPr>
        <w:tblW w:type="auto" w:w="0"/>
        <w:jc w:val="center"/>
        <w:tblLook w:firstColumn="1" w:firstRow="1" w:lastColumn="0" w:lastRow="0" w:noHBand="0" w:noVBand="1" w:val="04A0"/>
        <w:tblBorders>
          <w:top w:val="single" w:sz="4" w:space="0" w:color="D1D5DB"/>
          <w:bottom w:val="single" w:sz="4" w:space="0" w:color="D1D5DB"/>
          <w:insideH w:val="single" w:sz="4" w:space="0" w:color="D1D5DB"/>
          <w:insideV w:val="none"/>
          <w:left w:val="none"/>
          <w:right w:val="none"/>
        </w:tblBorders>
      </w:tblPr>
      <w:tblGrid>
        <w:gridCol w:w="2520"/>
        <w:gridCol w:w="2520"/>
        <w:gridCol w:w="2520"/>
        <w:gridCol w:w="2520"/>
      </w:tblGrid>
      <w:tr>
        <w:trPr>
          <w:tblHeader/>
          <w:cantSplit/>
        </w:trPr>
        <w:tc>
          <w:tcPr>
            <w:tcW w:type="dxa" w:w="2592"/>
            <w:shd w:fill="102C57"/>
            <w:tcMar>
              <w:top w:w="100" w:type="dxa"/>
              <w:bottom w:w="100" w:type="dxa"/>
              <w:left w:w="100" w:type="dxa"/>
              <w:right w:w="100" w:type="dxa"/>
            </w:tcMar>
          </w:tcPr>
          <w:p>
            <w:pPr>
              <w:keepNext/>
              <w:spacing w:after="0"/>
            </w:pPr>
            <w:r>
              <w:rPr>
                <w:b/>
                <w:color w:val="FFFFFF"/>
                <w:sz w:val="19"/>
              </w:rPr>
              <w:t>Quality Statement / Domain</w:t>
            </w:r>
          </w:p>
        </w:tc>
        <w:tc>
          <w:tcPr>
            <w:tcW w:type="dxa" w:w="4608"/>
            <w:shd w:fill="102C57"/>
            <w:tcMar>
              <w:top w:w="100" w:type="dxa"/>
              <w:bottom w:w="100" w:type="dxa"/>
              <w:left w:w="100" w:type="dxa"/>
              <w:right w:w="100" w:type="dxa"/>
            </w:tcMar>
          </w:tcPr>
          <w:p>
            <w:pPr>
              <w:keepNext/>
              <w:spacing w:after="0"/>
            </w:pPr>
            <w:r>
              <w:rPr>
                <w:b/>
                <w:color w:val="FFFFFF"/>
                <w:sz w:val="19"/>
              </w:rPr>
              <w:t>Compliance Requirement &amp; Evidence Standard</w:t>
            </w:r>
          </w:p>
        </w:tc>
        <w:tc>
          <w:tcPr>
            <w:tcW w:type="dxa" w:w="1152"/>
            <w:shd w:fill="102C57"/>
            <w:tcMar>
              <w:top w:w="100" w:type="dxa"/>
              <w:bottom w:w="100" w:type="dxa"/>
              <w:left w:w="100" w:type="dxa"/>
              <w:right w:w="100" w:type="dxa"/>
            </w:tcMar>
          </w:tcPr>
          <w:p>
            <w:pPr>
              <w:keepNext/>
              <w:spacing w:after="0"/>
            </w:pPr>
            <w:r>
              <w:rPr>
                <w:b/>
                <w:color w:val="FFFFFF"/>
                <w:sz w:val="19"/>
              </w:rPr>
              <w:t>Priority</w:t>
            </w:r>
          </w:p>
        </w:tc>
        <w:tc>
          <w:tcPr>
            <w:tcW w:type="dxa" w:w="1728"/>
            <w:shd w:fill="102C57"/>
            <w:tcMar>
              <w:top w:w="100" w:type="dxa"/>
              <w:bottom w:w="100" w:type="dxa"/>
              <w:left w:w="100" w:type="dxa"/>
              <w:right w:w="100" w:type="dxa"/>
            </w:tcMar>
          </w:tcPr>
          <w:p>
            <w:pPr>
              <w:keepNext/>
              <w:spacing w:after="0"/>
            </w:pPr>
            <w:r>
              <w:rPr>
                <w:b/>
                <w:color w:val="FFFFFF"/>
                <w:sz w:val="19"/>
              </w:rPr>
              <w:t>Status / Notes</w:t>
            </w:r>
          </w:p>
        </w:tc>
      </w:tr>
      <w:tr>
        <w:trPr>
          <w:cantSplit/>
        </w:trPr>
        <w:tc>
          <w:tcPr>
            <w:tcW w:type="dxa" w:w="2592"/>
            <w:shd w:fill="FFFFFF"/>
            <w:tcMar>
              <w:top w:w="80" w:type="dxa"/>
              <w:bottom w:w="80" w:type="dxa"/>
              <w:left w:w="100" w:type="dxa"/>
              <w:right w:w="100" w:type="dxa"/>
            </w:tcMar>
          </w:tcPr>
          <w:p>
            <w:pPr>
              <w:spacing w:after="0"/>
            </w:pPr>
            <w:r>
              <w:rPr>
                <w:b/>
                <w:sz w:val="18"/>
              </w:rPr>
              <w:t>Shared Direction, Culture &amp; Governance</w:t>
            </w:r>
          </w:p>
        </w:tc>
        <w:tc>
          <w:tcPr>
            <w:tcW w:type="dxa" w:w="4608"/>
            <w:shd w:fill="FFFFFF"/>
            <w:tcMar>
              <w:top w:w="80" w:type="dxa"/>
              <w:bottom w:w="80" w:type="dxa"/>
              <w:left w:w="100" w:type="dxa"/>
              <w:right w:w="100" w:type="dxa"/>
            </w:tcMar>
          </w:tcPr>
          <w:p>
            <w:pPr>
              <w:spacing w:after="0"/>
            </w:pPr>
            <w:r>
              <w:rPr>
                <w:sz w:val="18"/>
              </w:rPr>
              <w:t>Is there a clear practice vision, active risk register, regularly reviewed Business Continuity Plan, and staff whistleblowing lead?</w:t>
            </w:r>
          </w:p>
        </w:tc>
        <w:tc>
          <w:tcPr>
            <w:tcW w:type="dxa" w:w="1152"/>
            <w:shd w:fill="FFFFFF"/>
            <w:tcMar>
              <w:top w:w="80" w:type="dxa"/>
              <w:bottom w:w="80" w:type="dxa"/>
              <w:left w:w="60" w:type="dxa"/>
              <w:right w:w="60" w:type="dxa"/>
            </w:tcMar>
          </w:tcPr>
          <w:p>
            <w:pPr>
              <w:spacing w:after="0"/>
              <w:jc w:val="center"/>
            </w:pPr>
            <w:r>
              <w:rPr>
                <w:b/>
                <w:color w:val="B91C1C"/>
                <w:sz w:val="17"/>
              </w:rPr>
              <w:t>Critical</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Capable &amp; Compassionate Leadership</w:t>
            </w:r>
          </w:p>
        </w:tc>
        <w:tc>
          <w:tcPr>
            <w:tcW w:type="dxa" w:w="4608"/>
            <w:shd w:fill="F4F6F9"/>
            <w:tcMar>
              <w:top w:w="80" w:type="dxa"/>
              <w:bottom w:w="80" w:type="dxa"/>
              <w:left w:w="100" w:type="dxa"/>
              <w:right w:w="100" w:type="dxa"/>
            </w:tcMar>
          </w:tcPr>
          <w:p>
            <w:pPr>
              <w:spacing w:after="0"/>
            </w:pPr>
            <w:r>
              <w:rPr>
                <w:sz w:val="18"/>
              </w:rPr>
              <w:t>Are regular practice meetings (clinical, multi-disciplinary, administrative) minuted with clear action logs?</w:t>
            </w:r>
          </w:p>
        </w:tc>
        <w:tc>
          <w:tcPr>
            <w:tcW w:type="dxa" w:w="1152"/>
            <w:shd w:fill="F4F6F9"/>
            <w:tcMar>
              <w:top w:w="80" w:type="dxa"/>
              <w:bottom w:w="80" w:type="dxa"/>
              <w:left w:w="60" w:type="dxa"/>
              <w:right w:w="60" w:type="dxa"/>
            </w:tcMar>
          </w:tcPr>
          <w:p>
            <w:pPr>
              <w:spacing w:after="0"/>
              <w:jc w:val="center"/>
            </w:pPr>
            <w:r>
              <w:rPr>
                <w:b/>
                <w:color w:val="C2410C"/>
                <w:sz w:val="17"/>
              </w:rPr>
              <w:t>High</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Freedom to Speak Up</w:t>
            </w:r>
          </w:p>
        </w:tc>
        <w:tc>
          <w:tcPr>
            <w:tcW w:type="dxa" w:w="4608"/>
            <w:shd w:fill="FFFFFF"/>
            <w:tcMar>
              <w:top w:w="80" w:type="dxa"/>
              <w:bottom w:w="80" w:type="dxa"/>
              <w:left w:w="100" w:type="dxa"/>
              <w:right w:w="100" w:type="dxa"/>
            </w:tcMar>
          </w:tcPr>
          <w:p>
            <w:pPr>
              <w:spacing w:after="0"/>
            </w:pPr>
            <w:r>
              <w:rPr>
                <w:sz w:val="18"/>
              </w:rPr>
              <w:t>Is a FTSU Guardian identified and communicated clearly to all team members?</w:t>
            </w:r>
          </w:p>
        </w:tc>
        <w:tc>
          <w:tcPr>
            <w:tcW w:type="dxa" w:w="1152"/>
            <w:shd w:fill="FFFFFF"/>
            <w:tcMar>
              <w:top w:w="80" w:type="dxa"/>
              <w:bottom w:w="80" w:type="dxa"/>
              <w:left w:w="60" w:type="dxa"/>
              <w:right w:w="60" w:type="dxa"/>
            </w:tcMar>
          </w:tcPr>
          <w:p>
            <w:pPr>
              <w:spacing w:after="0"/>
              <w:jc w:val="center"/>
            </w:pPr>
            <w:r>
              <w:rPr>
                <w:b/>
                <w:color w:val="475569"/>
                <w:sz w:val="17"/>
              </w:rPr>
              <w:t>Medium</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Workforce Equality &amp; Engagement</w:t>
            </w:r>
          </w:p>
        </w:tc>
        <w:tc>
          <w:tcPr>
            <w:tcW w:type="dxa" w:w="4608"/>
            <w:shd w:fill="F4F6F9"/>
            <w:tcMar>
              <w:top w:w="80" w:type="dxa"/>
              <w:bottom w:w="80" w:type="dxa"/>
              <w:left w:w="100" w:type="dxa"/>
              <w:right w:w="100" w:type="dxa"/>
            </w:tcMar>
          </w:tcPr>
          <w:p>
            <w:pPr>
              <w:spacing w:after="0"/>
            </w:pPr>
            <w:r>
              <w:rPr>
                <w:sz w:val="18"/>
              </w:rPr>
              <w:t>Are staff appraisals completed annually (minimum 90% compliance) with active staff feedback mechanisms?</w:t>
            </w:r>
          </w:p>
        </w:tc>
        <w:tc>
          <w:tcPr>
            <w:tcW w:type="dxa" w:w="1152"/>
            <w:shd w:fill="F4F6F9"/>
            <w:tcMar>
              <w:top w:w="80" w:type="dxa"/>
              <w:bottom w:w="80" w:type="dxa"/>
              <w:left w:w="60" w:type="dxa"/>
              <w:right w:w="60" w:type="dxa"/>
            </w:tcMar>
          </w:tcPr>
          <w:p>
            <w:pPr>
              <w:spacing w:after="0"/>
              <w:jc w:val="center"/>
            </w:pPr>
            <w:r>
              <w:rPr>
                <w:b/>
                <w:color w:val="475569"/>
                <w:sz w:val="17"/>
              </w:rPr>
              <w:t>Medium</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FFFFF"/>
            <w:tcMar>
              <w:top w:w="80" w:type="dxa"/>
              <w:bottom w:w="80" w:type="dxa"/>
              <w:left w:w="100" w:type="dxa"/>
              <w:right w:w="100" w:type="dxa"/>
            </w:tcMar>
          </w:tcPr>
          <w:p>
            <w:pPr>
              <w:spacing w:after="0"/>
            </w:pPr>
            <w:r>
              <w:rPr>
                <w:b/>
                <w:sz w:val="18"/>
              </w:rPr>
              <w:t>Governance, Risk &amp; Performance Management</w:t>
            </w:r>
          </w:p>
        </w:tc>
        <w:tc>
          <w:tcPr>
            <w:tcW w:type="dxa" w:w="4608"/>
            <w:shd w:fill="FFFFFF"/>
            <w:tcMar>
              <w:top w:w="80" w:type="dxa"/>
              <w:bottom w:w="80" w:type="dxa"/>
              <w:left w:w="100" w:type="dxa"/>
              <w:right w:w="100" w:type="dxa"/>
            </w:tcMar>
          </w:tcPr>
          <w:p>
            <w:pPr>
              <w:spacing w:after="0"/>
            </w:pPr>
            <w:r>
              <w:rPr>
                <w:sz w:val="18"/>
              </w:rPr>
              <w:t>Is information governance (DSP Toolkit compliance) completed and patient data security rigorously maintained?</w:t>
            </w:r>
          </w:p>
        </w:tc>
        <w:tc>
          <w:tcPr>
            <w:tcW w:type="dxa" w:w="1152"/>
            <w:shd w:fill="FFFFFF"/>
            <w:tcMar>
              <w:top w:w="80" w:type="dxa"/>
              <w:bottom w:w="80" w:type="dxa"/>
              <w:left w:w="60" w:type="dxa"/>
              <w:right w:w="60" w:type="dxa"/>
            </w:tcMar>
          </w:tcPr>
          <w:p>
            <w:pPr>
              <w:spacing w:after="0"/>
              <w:jc w:val="center"/>
            </w:pPr>
            <w:r>
              <w:rPr>
                <w:b/>
                <w:color w:val="C2410C"/>
                <w:sz w:val="17"/>
              </w:rPr>
              <w:t>High</w:t>
            </w:r>
          </w:p>
        </w:tc>
        <w:tc>
          <w:tcPr>
            <w:tcW w:type="dxa" w:w="1728"/>
            <w:shd w:fill="FFFFFF"/>
            <w:tcMar>
              <w:top w:w="80" w:type="dxa"/>
              <w:bottom w:w="80" w:type="dxa"/>
              <w:left w:w="60" w:type="dxa"/>
              <w:right w:w="60" w:type="dxa"/>
            </w:tcMar>
          </w:tcPr>
          <w:p>
            <w:pPr>
              <w:spacing w:after="0"/>
            </w:pPr>
            <w:r>
              <w:rPr>
                <w:color w:val="64748B"/>
                <w:sz w:val="16"/>
              </w:rPr>
              <w:t>[  ] Compliant</w:t>
              <w:br/>
              <w:t>[  ] In Progress</w:t>
              <w:br/>
              <w:t>[  ] Action Needed</w:t>
            </w:r>
          </w:p>
        </w:tc>
      </w:tr>
      <w:tr>
        <w:trPr>
          <w:cantSplit/>
        </w:trPr>
        <w:tc>
          <w:tcPr>
            <w:tcW w:type="dxa" w:w="2592"/>
            <w:shd w:fill="F4F6F9"/>
            <w:tcMar>
              <w:top w:w="80" w:type="dxa"/>
              <w:bottom w:w="80" w:type="dxa"/>
              <w:left w:w="100" w:type="dxa"/>
              <w:right w:w="100" w:type="dxa"/>
            </w:tcMar>
          </w:tcPr>
          <w:p>
            <w:pPr>
              <w:spacing w:after="0"/>
            </w:pPr>
            <w:r>
              <w:rPr>
                <w:b/>
                <w:sz w:val="18"/>
              </w:rPr>
              <w:t>Continuous Improvement &amp; Innovation</w:t>
            </w:r>
          </w:p>
        </w:tc>
        <w:tc>
          <w:tcPr>
            <w:tcW w:type="dxa" w:w="4608"/>
            <w:shd w:fill="F4F6F9"/>
            <w:tcMar>
              <w:top w:w="80" w:type="dxa"/>
              <w:bottom w:w="80" w:type="dxa"/>
              <w:left w:w="100" w:type="dxa"/>
              <w:right w:w="100" w:type="dxa"/>
            </w:tcMar>
          </w:tcPr>
          <w:p>
            <w:pPr>
              <w:spacing w:after="0"/>
            </w:pPr>
            <w:r>
              <w:rPr>
                <w:sz w:val="18"/>
              </w:rPr>
              <w:t>Does the PPG (Patient Participation Group) meet regularly, and are patient ideas integrated into practice development?</w:t>
            </w:r>
          </w:p>
        </w:tc>
        <w:tc>
          <w:tcPr>
            <w:tcW w:type="dxa" w:w="1152"/>
            <w:shd w:fill="F4F6F9"/>
            <w:tcMar>
              <w:top w:w="80" w:type="dxa"/>
              <w:bottom w:w="80" w:type="dxa"/>
              <w:left w:w="60" w:type="dxa"/>
              <w:right w:w="60" w:type="dxa"/>
            </w:tcMar>
          </w:tcPr>
          <w:p>
            <w:pPr>
              <w:spacing w:after="0"/>
              <w:jc w:val="center"/>
            </w:pPr>
            <w:r>
              <w:rPr>
                <w:b/>
                <w:color w:val="475569"/>
                <w:sz w:val="17"/>
              </w:rPr>
              <w:t>Medium</w:t>
            </w:r>
          </w:p>
        </w:tc>
        <w:tc>
          <w:tcPr>
            <w:tcW w:type="dxa" w:w="1728"/>
            <w:shd w:fill="F4F6F9"/>
            <w:tcMar>
              <w:top w:w="80" w:type="dxa"/>
              <w:bottom w:w="80" w:type="dxa"/>
              <w:left w:w="60" w:type="dxa"/>
              <w:right w:w="60" w:type="dxa"/>
            </w:tcMar>
          </w:tcPr>
          <w:p>
            <w:pPr>
              <w:spacing w:after="0"/>
            </w:pPr>
            <w:r>
              <w:rPr>
                <w:color w:val="64748B"/>
                <w:sz w:val="16"/>
              </w:rPr>
              <w:t>[  ] Compliant</w:t>
              <w:br/>
              <w:t>[  ] In Progress</w:t>
              <w:br/>
              <w:t>[  ] Action Needed</w:t>
            </w:r>
          </w:p>
        </w:tc>
      </w:tr>
    </w:tbl>
    <w:p>
      <w:pPr>
        <w:spacing w:after="120"/>
      </w:pPr>
    </w:p>
    <w:p>
      <w:pPr>
        <w:keepNext/>
        <w:spacing w:before="320" w:after="120"/>
      </w:pPr>
      <w:r>
        <w:rPr>
          <w:b/>
          <w:color w:val="102C57"/>
          <w:sz w:val="26"/>
        </w:rPr>
        <w:t>High Priority Action Plan &amp; Inspection Sign-Off</w:t>
      </w:r>
    </w:p>
    <w:tbl>
      <w:tblPr>
        <w:tblW w:type="auto" w:w="0"/>
        <w:jc w:val="center"/>
        <w:tblLook w:firstColumn="1" w:firstRow="1" w:lastColumn="0" w:lastRow="0" w:noHBand="0" w:noVBand="1" w:val="04A0"/>
        <w:tblBorders>
          <w:top w:val="single" w:sz="4" w:space="0" w:color="D1D5DB"/>
          <w:bottom w:val="single" w:sz="4" w:space="0" w:color="D1D5DB"/>
          <w:insideH w:val="single" w:sz="4" w:space="0" w:color="D1D5DB"/>
          <w:insideV w:val="none"/>
          <w:left w:val="none"/>
          <w:right w:val="none"/>
        </w:tblBorders>
      </w:tblPr>
      <w:tblGrid>
        <w:gridCol w:w="2520"/>
        <w:gridCol w:w="2520"/>
        <w:gridCol w:w="2520"/>
        <w:gridCol w:w="2520"/>
      </w:tblGrid>
      <w:tr>
        <w:trPr>
          <w:tblHeader/>
          <w:cantSplit/>
        </w:trPr>
        <w:tc>
          <w:tcPr>
            <w:tcW w:type="dxa" w:w="3600"/>
            <w:shd w:fill="102C57"/>
            <w:tcMar>
              <w:top w:w="100" w:type="dxa"/>
              <w:bottom w:w="100" w:type="dxa"/>
              <w:left w:w="100" w:type="dxa"/>
              <w:right w:w="100" w:type="dxa"/>
            </w:tcMar>
          </w:tcPr>
          <w:p>
            <w:pPr>
              <w:keepNext/>
              <w:spacing w:after="0"/>
            </w:pPr>
            <w:r>
              <w:rPr>
                <w:b/>
                <w:color w:val="FFFFFF"/>
                <w:sz w:val="19"/>
              </w:rPr>
              <w:t>Identified Gap / Action Item</w:t>
            </w:r>
          </w:p>
        </w:tc>
        <w:tc>
          <w:tcPr>
            <w:tcW w:type="dxa" w:w="2160"/>
            <w:shd w:fill="102C57"/>
            <w:tcMar>
              <w:top w:w="100" w:type="dxa"/>
              <w:bottom w:w="100" w:type="dxa"/>
              <w:left w:w="100" w:type="dxa"/>
              <w:right w:w="100" w:type="dxa"/>
            </w:tcMar>
          </w:tcPr>
          <w:p>
            <w:pPr>
              <w:keepNext/>
              <w:spacing w:after="0"/>
            </w:pPr>
            <w:r>
              <w:rPr>
                <w:b/>
                <w:color w:val="FFFFFF"/>
                <w:sz w:val="19"/>
              </w:rPr>
              <w:t>Assigned Lead</w:t>
            </w:r>
          </w:p>
        </w:tc>
        <w:tc>
          <w:tcPr>
            <w:tcW w:type="dxa" w:w="1728"/>
            <w:shd w:fill="102C57"/>
            <w:tcMar>
              <w:top w:w="100" w:type="dxa"/>
              <w:bottom w:w="100" w:type="dxa"/>
              <w:left w:w="100" w:type="dxa"/>
              <w:right w:w="100" w:type="dxa"/>
            </w:tcMar>
          </w:tcPr>
          <w:p>
            <w:pPr>
              <w:keepNext/>
              <w:spacing w:after="0"/>
            </w:pPr>
            <w:r>
              <w:rPr>
                <w:b/>
                <w:color w:val="FFFFFF"/>
                <w:sz w:val="19"/>
              </w:rPr>
              <w:t>Target Date</w:t>
            </w:r>
          </w:p>
        </w:tc>
        <w:tc>
          <w:tcPr>
            <w:tcW w:type="dxa" w:w="2592"/>
            <w:shd w:fill="102C57"/>
            <w:tcMar>
              <w:top w:w="100" w:type="dxa"/>
              <w:bottom w:w="100" w:type="dxa"/>
              <w:left w:w="100" w:type="dxa"/>
              <w:right w:w="100" w:type="dxa"/>
            </w:tcMar>
          </w:tcPr>
          <w:p>
            <w:pPr>
              <w:keepNext/>
              <w:spacing w:after="0"/>
            </w:pPr>
            <w:r>
              <w:rPr>
                <w:b/>
                <w:color w:val="FFFFFF"/>
                <w:sz w:val="19"/>
              </w:rPr>
              <w:t>Status / Completion Date</w:t>
            </w:r>
          </w:p>
        </w:tc>
      </w:tr>
      <w:tr>
        <w:trPr>
          <w:cantSplit/>
        </w:trPr>
        <w:tc>
          <w:tcPr>
            <w:tcW w:type="dxa" w:w="3600"/>
            <w:tcMar>
              <w:top w:w="120" w:type="dxa"/>
              <w:bottom w:w="120" w:type="dxa"/>
              <w:left w:w="100" w:type="dxa"/>
              <w:right w:w="100" w:type="dxa"/>
            </w:tcMar>
          </w:tcPr>
          <w:p>
            <w:pPr>
              <w:spacing w:after="0"/>
            </w:pPr>
            <w:r>
              <w:rPr>
                <w:sz w:val="18"/>
              </w:rPr>
            </w:r>
          </w:p>
        </w:tc>
        <w:tc>
          <w:tcPr>
            <w:tcW w:type="dxa" w:w="2160"/>
            <w:tcMar>
              <w:top w:w="120" w:type="dxa"/>
              <w:bottom w:w="120" w:type="dxa"/>
              <w:left w:w="100" w:type="dxa"/>
              <w:right w:w="100" w:type="dxa"/>
            </w:tcMar>
          </w:tcPr>
          <w:p>
            <w:pPr>
              <w:spacing w:after="0"/>
            </w:pPr>
            <w:r>
              <w:rPr>
                <w:sz w:val="18"/>
              </w:rPr>
            </w:r>
          </w:p>
        </w:tc>
        <w:tc>
          <w:tcPr>
            <w:tcW w:type="dxa" w:w="1728"/>
            <w:tcMar>
              <w:top w:w="120" w:type="dxa"/>
              <w:bottom w:w="120" w:type="dxa"/>
              <w:left w:w="100" w:type="dxa"/>
              <w:right w:w="100" w:type="dxa"/>
            </w:tcMar>
          </w:tcPr>
          <w:p>
            <w:pPr>
              <w:spacing w:after="0"/>
            </w:pPr>
            <w:r>
              <w:rPr>
                <w:sz w:val="18"/>
              </w:rPr>
            </w:r>
          </w:p>
        </w:tc>
        <w:tc>
          <w:tcPr>
            <w:tcW w:type="dxa" w:w="2592"/>
            <w:tcMar>
              <w:top w:w="120" w:type="dxa"/>
              <w:bottom w:w="120" w:type="dxa"/>
              <w:left w:w="100" w:type="dxa"/>
              <w:right w:w="100" w:type="dxa"/>
            </w:tcMar>
          </w:tcPr>
          <w:p>
            <w:pPr>
              <w:spacing w:after="0"/>
            </w:pPr>
            <w:r>
              <w:rPr>
                <w:sz w:val="18"/>
              </w:rPr>
            </w:r>
          </w:p>
        </w:tc>
      </w:tr>
      <w:tr>
        <w:trPr>
          <w:cantSplit/>
        </w:trPr>
        <w:tc>
          <w:tcPr>
            <w:tcW w:type="dxa" w:w="3600"/>
            <w:tcMar>
              <w:top w:w="120" w:type="dxa"/>
              <w:bottom w:w="120" w:type="dxa"/>
              <w:left w:w="100" w:type="dxa"/>
              <w:right w:w="100" w:type="dxa"/>
            </w:tcMar>
          </w:tcPr>
          <w:p>
            <w:pPr>
              <w:spacing w:after="0"/>
            </w:pPr>
            <w:r>
              <w:rPr>
                <w:sz w:val="18"/>
              </w:rPr>
            </w:r>
          </w:p>
        </w:tc>
        <w:tc>
          <w:tcPr>
            <w:tcW w:type="dxa" w:w="2160"/>
            <w:tcMar>
              <w:top w:w="120" w:type="dxa"/>
              <w:bottom w:w="120" w:type="dxa"/>
              <w:left w:w="100" w:type="dxa"/>
              <w:right w:w="100" w:type="dxa"/>
            </w:tcMar>
          </w:tcPr>
          <w:p>
            <w:pPr>
              <w:spacing w:after="0"/>
            </w:pPr>
            <w:r>
              <w:rPr>
                <w:sz w:val="18"/>
              </w:rPr>
            </w:r>
          </w:p>
        </w:tc>
        <w:tc>
          <w:tcPr>
            <w:tcW w:type="dxa" w:w="1728"/>
            <w:tcMar>
              <w:top w:w="120" w:type="dxa"/>
              <w:bottom w:w="120" w:type="dxa"/>
              <w:left w:w="100" w:type="dxa"/>
              <w:right w:w="100" w:type="dxa"/>
            </w:tcMar>
          </w:tcPr>
          <w:p>
            <w:pPr>
              <w:spacing w:after="0"/>
            </w:pPr>
            <w:r>
              <w:rPr>
                <w:sz w:val="18"/>
              </w:rPr>
            </w:r>
          </w:p>
        </w:tc>
        <w:tc>
          <w:tcPr>
            <w:tcW w:type="dxa" w:w="2592"/>
            <w:tcMar>
              <w:top w:w="120" w:type="dxa"/>
              <w:bottom w:w="120" w:type="dxa"/>
              <w:left w:w="100" w:type="dxa"/>
              <w:right w:w="100" w:type="dxa"/>
            </w:tcMar>
          </w:tcPr>
          <w:p>
            <w:pPr>
              <w:spacing w:after="0"/>
            </w:pPr>
            <w:r>
              <w:rPr>
                <w:sz w:val="18"/>
              </w:rPr>
            </w:r>
          </w:p>
        </w:tc>
      </w:tr>
      <w:tr>
        <w:trPr>
          <w:cantSplit/>
        </w:trPr>
        <w:tc>
          <w:tcPr>
            <w:tcW w:type="dxa" w:w="3600"/>
            <w:tcMar>
              <w:top w:w="120" w:type="dxa"/>
              <w:bottom w:w="120" w:type="dxa"/>
              <w:left w:w="100" w:type="dxa"/>
              <w:right w:w="100" w:type="dxa"/>
            </w:tcMar>
          </w:tcPr>
          <w:p>
            <w:pPr>
              <w:spacing w:after="0"/>
            </w:pPr>
            <w:r>
              <w:rPr>
                <w:sz w:val="18"/>
              </w:rPr>
            </w:r>
          </w:p>
        </w:tc>
        <w:tc>
          <w:tcPr>
            <w:tcW w:type="dxa" w:w="2160"/>
            <w:tcMar>
              <w:top w:w="120" w:type="dxa"/>
              <w:bottom w:w="120" w:type="dxa"/>
              <w:left w:w="100" w:type="dxa"/>
              <w:right w:w="100" w:type="dxa"/>
            </w:tcMar>
          </w:tcPr>
          <w:p>
            <w:pPr>
              <w:spacing w:after="0"/>
            </w:pPr>
            <w:r>
              <w:rPr>
                <w:sz w:val="18"/>
              </w:rPr>
            </w:r>
          </w:p>
        </w:tc>
        <w:tc>
          <w:tcPr>
            <w:tcW w:type="dxa" w:w="1728"/>
            <w:tcMar>
              <w:top w:w="120" w:type="dxa"/>
              <w:bottom w:w="120" w:type="dxa"/>
              <w:left w:w="100" w:type="dxa"/>
              <w:right w:w="100" w:type="dxa"/>
            </w:tcMar>
          </w:tcPr>
          <w:p>
            <w:pPr>
              <w:spacing w:after="0"/>
            </w:pPr>
            <w:r>
              <w:rPr>
                <w:sz w:val="18"/>
              </w:rPr>
            </w:r>
          </w:p>
        </w:tc>
        <w:tc>
          <w:tcPr>
            <w:tcW w:type="dxa" w:w="2592"/>
            <w:tcMar>
              <w:top w:w="120" w:type="dxa"/>
              <w:bottom w:w="120" w:type="dxa"/>
              <w:left w:w="100" w:type="dxa"/>
              <w:right w:w="100" w:type="dxa"/>
            </w:tcMar>
          </w:tcPr>
          <w:p>
            <w:pPr>
              <w:spacing w:after="0"/>
            </w:pPr>
            <w:r>
              <w:rPr>
                <w:sz w:val="18"/>
              </w:rPr>
            </w:r>
          </w:p>
        </w:tc>
      </w:tr>
      <w:tr>
        <w:trPr>
          <w:cantSplit/>
        </w:trPr>
        <w:tc>
          <w:tcPr>
            <w:tcW w:type="dxa" w:w="3600"/>
            <w:tcMar>
              <w:top w:w="120" w:type="dxa"/>
              <w:bottom w:w="120" w:type="dxa"/>
              <w:left w:w="100" w:type="dxa"/>
              <w:right w:w="100" w:type="dxa"/>
            </w:tcMar>
          </w:tcPr>
          <w:p>
            <w:pPr>
              <w:spacing w:after="0"/>
            </w:pPr>
            <w:r>
              <w:rPr>
                <w:sz w:val="18"/>
              </w:rPr>
            </w:r>
          </w:p>
        </w:tc>
        <w:tc>
          <w:tcPr>
            <w:tcW w:type="dxa" w:w="2160"/>
            <w:tcMar>
              <w:top w:w="120" w:type="dxa"/>
              <w:bottom w:w="120" w:type="dxa"/>
              <w:left w:w="100" w:type="dxa"/>
              <w:right w:w="100" w:type="dxa"/>
            </w:tcMar>
          </w:tcPr>
          <w:p>
            <w:pPr>
              <w:spacing w:after="0"/>
            </w:pPr>
            <w:r>
              <w:rPr>
                <w:sz w:val="18"/>
              </w:rPr>
            </w:r>
          </w:p>
        </w:tc>
        <w:tc>
          <w:tcPr>
            <w:tcW w:type="dxa" w:w="1728"/>
            <w:tcMar>
              <w:top w:w="120" w:type="dxa"/>
              <w:bottom w:w="120" w:type="dxa"/>
              <w:left w:w="100" w:type="dxa"/>
              <w:right w:w="100" w:type="dxa"/>
            </w:tcMar>
          </w:tcPr>
          <w:p>
            <w:pPr>
              <w:spacing w:after="0"/>
            </w:pPr>
            <w:r>
              <w:rPr>
                <w:sz w:val="18"/>
              </w:rPr>
            </w:r>
          </w:p>
        </w:tc>
        <w:tc>
          <w:tcPr>
            <w:tcW w:type="dxa" w:w="2592"/>
            <w:tcMar>
              <w:top w:w="120" w:type="dxa"/>
              <w:bottom w:w="120" w:type="dxa"/>
              <w:left w:w="100" w:type="dxa"/>
              <w:right w:w="100" w:type="dxa"/>
            </w:tcMar>
          </w:tcPr>
          <w:p>
            <w:pPr>
              <w:spacing w:after="0"/>
            </w:pPr>
            <w:r>
              <w:rPr>
                <w:sz w:val="18"/>
              </w:rPr>
            </w:r>
          </w:p>
        </w:tc>
      </w:tr>
    </w:tbl>
    <w:p>
      <w:pPr>
        <w:spacing w:after="240"/>
      </w:pPr>
    </w:p>
    <w:tbl>
      <w:tblPr>
        <w:tblW w:type="auto" w:w="0"/>
        <w:jc w:val="center"/>
        <w:tblLook w:firstColumn="1" w:firstRow="1" w:lastColumn="0" w:lastRow="0" w:noHBand="0" w:noVBand="1" w:val="04A0"/>
      </w:tblPr>
      <w:tblGrid>
        <w:gridCol w:w="10080"/>
      </w:tblGrid>
      <w:tr>
        <w:tc>
          <w:tcPr>
            <w:tcW w:type="dxa" w:w="10080"/>
            <w:shd w:fill="F0Fdf4"/>
            <w:tcMar>
              <w:top w:w="120" w:type="dxa"/>
              <w:bottom w:w="120" w:type="dxa"/>
              <w:left w:w="150" w:type="dxa"/>
              <w:right w:w="150" w:type="dxa"/>
            </w:tcMar>
            <w:tcBorders>
              <w:left w:val="single" w:sz="24" w:space="0" w:color="166534"/>
              <w:top w:val="none"/>
              <w:right w:val="none"/>
              <w:bottom w:val="none"/>
            </w:tcBorders>
          </w:tcPr>
          <w:p>
            <w:pPr>
              <w:spacing w:after="0"/>
            </w:pPr>
            <w:r>
              <w:rPr>
                <w:b/>
                <w:color w:val="166534"/>
                <w:sz w:val="20"/>
              </w:rPr>
              <w:t>Need Expert Inspection Preparation or Mock CQC Audits?</w:t>
              <w:br/>
            </w:r>
            <w:r>
              <w:rPr>
                <w:sz w:val="19"/>
              </w:rPr>
              <w:t xml:space="preserve">For professional advice, bespoke compliance frameworks, mock inspections, and ongoing support, contact our team at </w:t>
            </w:r>
            <w:r>
              <w:rPr>
                <w:b/>
                <w:color w:val="102C57"/>
                <w:sz w:val="19"/>
              </w:rPr>
              <w:t>www.CQCconsultancy.net</w:t>
            </w:r>
          </w:p>
        </w:tc>
      </w:tr>
    </w:tbl>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1252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