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360"/>
        <w:jc w:val="center"/>
      </w:pPr>
      <w:r>
        <w:drawing>
          <wp:inline xmlns:a="http://schemas.openxmlformats.org/drawingml/2006/main" xmlns:pic="http://schemas.openxmlformats.org/drawingml/2006/picture">
            <wp:extent cx="3888000" cy="1478769"/>
            <wp:docPr id="1" name="Picture 1" descr="CQC Consultancy logo" title="CQC Consultancy"/>
            <wp:cNvGraphicFramePr>
              <a:graphicFrameLocks noChangeAspect="1"/>
            </wp:cNvGraphicFramePr>
            <a:graphic>
              <a:graphicData uri="http://schemas.openxmlformats.org/drawingml/2006/picture">
                <pic:pic>
                  <pic:nvPicPr>
                    <pic:cNvPr id="0" name="cqcconsultancy-logo.png"/>
                    <pic:cNvPicPr/>
                  </pic:nvPicPr>
                  <pic:blipFill>
                    <a:blip r:embed="rId11"/>
                    <a:stretch>
                      <a:fillRect/>
                    </a:stretch>
                  </pic:blipFill>
                  <pic:spPr>
                    <a:xfrm>
                      <a:off x="0" y="0"/>
                      <a:ext cx="3888000" cy="1478769"/>
                    </a:xfrm>
                    <a:prstGeom prst="rect"/>
                  </pic:spPr>
                </pic:pic>
              </a:graphicData>
            </a:graphic>
          </wp:inline>
        </w:drawing>
      </w:r>
    </w:p>
    <w:p>
      <w:pPr>
        <w:spacing w:before="160" w:after="100"/>
        <w:jc w:val="center"/>
      </w:pPr>
      <w:r>
        <w:rPr>
          <w:rFonts w:ascii="Aptos Display" w:hAnsi="Aptos Display"/>
          <w:b/>
          <w:i w:val="0"/>
          <w:color w:val="102F3B"/>
          <w:sz w:val="50"/>
        </w:rPr>
        <w:t>HEALTHCARE FIRE RISK ASSESSMENT</w:t>
      </w:r>
    </w:p>
    <w:p>
      <w:pPr>
        <w:spacing w:after="360"/>
        <w:jc w:val="center"/>
      </w:pPr>
      <w:r>
        <w:rPr>
          <w:rFonts w:ascii="Aptos" w:hAnsi="Aptos"/>
          <w:b/>
          <w:i w:val="0"/>
          <w:color w:val="E8A72B"/>
          <w:sz w:val="25"/>
        </w:rPr>
        <w:t>Editable assessment template for healthcare premises in England</w:t>
      </w:r>
    </w:p>
    <w:tbl>
      <w:tblPr>
        <w:tblW w:type="dxa" w:w="9794"/>
        <w:jc w:val="left"/>
        <w:tblLayout w:type="fixed"/>
        <w:tblLook w:firstColumn="1" w:firstRow="1" w:lastColumn="0" w:lastRow="0" w:noHBand="0" w:noVBand="1" w:val="04A0"/>
        <w:tblInd w:w="120" w:type="dxa"/>
        <w:tblBorders>
          <w:top w:val="single" w:sz="10" w:space="0" w:color="E8A72B"/>
          <w:left w:val="single" w:sz="10" w:space="0" w:color="E8A72B"/>
          <w:bottom w:val="single" w:sz="10" w:space="0" w:color="E8A72B"/>
          <w:right w:val="single" w:sz="10" w:space="0" w:color="E8A72B"/>
          <w:insideH w:val="single" w:sz="10" w:space="0" w:color="E8A72B"/>
          <w:insideV w:val="single" w:sz="10" w:space="0" w:color="E8A72B"/>
        </w:tblBorders>
      </w:tblPr>
      <w:tblGrid>
        <w:gridCol w:w="9794"/>
      </w:tblGrid>
      <w:tr>
        <w:tc>
          <w:tcPr>
            <w:tcW w:type="dxa" w:w="9794"/>
            <w:tcMar>
              <w:top w:w="80" w:type="dxa"/>
              <w:start w:w="120" w:type="dxa"/>
              <w:bottom w:w="80" w:type="dxa"/>
              <w:end w:w="120" w:type="dxa"/>
            </w:tcMar>
            <w:shd w:fill="FDEAEA"/>
          </w:tcPr>
          <w:p>
            <w:pPr>
              <w:spacing w:after="60"/>
            </w:pPr>
            <w:r/>
            <w:r>
              <w:rPr>
                <w:rFonts w:ascii="Aptos" w:hAnsi="Aptos"/>
                <w:b/>
                <w:i w:val="0"/>
                <w:color w:val="9C2F2F"/>
                <w:sz w:val="20"/>
              </w:rPr>
              <w:t>IMPORTANT: COMPETENCE AND LEGAL RESPONSIBILITY</w:t>
            </w:r>
          </w:p>
          <w:p>
            <w:pPr>
              <w:spacing w:before="0" w:after="0" w:line="259" w:lineRule="auto"/>
            </w:pPr>
            <w:r>
              <w:rPr>
                <w:rFonts w:ascii="Aptos" w:hAnsi="Aptos"/>
                <w:b w:val="0"/>
                <w:i w:val="0"/>
                <w:color w:val="1D2428"/>
                <w:sz w:val="18"/>
              </w:rPr>
              <w:t>This template must only be completed or reviewed by a person with sufficient training, knowledge, experience and other qualities appropriate to the premises, its fire hazards and the dependency of its occupants. The template does not make its user competent. The Responsible Person retains legal responsibility for ensuring the assessment is suitable and sufficient and that all required precautions are implemented. Where competence is lacking, or the premises is complex, appoint a competent fire risk assessor with suitable healthcare experience.</w:t>
            </w:r>
          </w:p>
        </w:tc>
      </w:tr>
    </w:tbl>
    <w:p>
      <w:pPr>
        <w:spacing w:after="0"/>
      </w:pP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2600"/>
        <w:gridCol w:w="7194"/>
      </w:tblGrid>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Premises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7"/>
              </w:rPr>
              <w:t>Click or type here</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Full address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7"/>
              </w:rPr>
              <w:t>Click or type here</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Responsible Person</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7"/>
              </w:rPr>
              <w:t>Name, role, organisation and UK address</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Assessor</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7"/>
              </w:rPr>
              <w:t>Name and organisation</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Assessment date</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7"/>
              </w:rPr>
              <w:t>DD / MM / YYYY</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Review due</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7"/>
              </w:rPr>
              <w:t>DD / MM / YYYY</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Document reference / version</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7"/>
              </w:rPr>
              <w:t>Click or type here</w:t>
            </w:r>
          </w:p>
        </w:tc>
      </w:tr>
    </w:tbl>
    <w:p>
      <w:pPr>
        <w:spacing w:before="240"/>
        <w:jc w:val="center"/>
      </w:pPr>
      <w:r>
        <w:rPr>
          <w:rFonts w:ascii="Aptos" w:hAnsi="Aptos"/>
          <w:b/>
          <w:i w:val="0"/>
          <w:color w:val="102F3B"/>
          <w:sz w:val="22"/>
        </w:rPr>
        <w:t>CQCConsultancy.net</w:t>
      </w:r>
      <w:r>
        <w:rPr>
          <w:rFonts w:ascii="Aptos" w:hAnsi="Aptos"/>
          <w:b w:val="0"/>
          <w:i w:val="0"/>
          <w:color w:val="6D7880"/>
          <w:sz w:val="18"/>
        </w:rPr>
        <w:t xml:space="preserve">  |  Practical compliance support for healthcare providers</w:t>
      </w:r>
    </w:p>
    <w:p>
      <w:r>
        <w:br w:type="page"/>
      </w:r>
    </w:p>
    <w:p>
      <w:pPr>
        <w:pStyle w:val="Heading1"/>
        <w:keepNext/>
      </w:pPr>
      <w:r>
        <w:t>1. How to use this assessment</w:t>
      </w:r>
    </w:p>
    <w:p>
      <w:pPr>
        <w:spacing w:before="0" w:after="100" w:line="269" w:lineRule="auto"/>
      </w:pPr>
      <w:r>
        <w:rPr>
          <w:rFonts w:ascii="Aptos" w:hAnsi="Aptos"/>
          <w:b w:val="0"/>
          <w:i w:val="0"/>
          <w:color w:val="1D2428"/>
          <w:sz w:val="19"/>
        </w:rPr>
        <w:t>This document is designed for non-residential premises in England whose main use is the provision of healthcare, including GP practices, dental practices, medical centres, outpatient clinics and similar services. Complete it through a physical inspection, staff consultation and review of records. Do not complete it as a desk exercise.</w:t>
      </w:r>
    </w:p>
    <w:p>
      <w:pPr>
        <w:spacing w:before="0" w:after="100" w:line="269" w:lineRule="auto"/>
      </w:pPr>
      <w:r>
        <w:rPr>
          <w:rFonts w:ascii="Aptos" w:hAnsi="Aptos"/>
          <w:b w:val="0"/>
          <w:i w:val="0"/>
          <w:color w:val="1D2428"/>
          <w:sz w:val="19"/>
        </w:rPr>
        <w:t>For care homes, nursing homes, residential treatment, sleeping accommodation or premises where healthcare is not the main use, use the sector-specific Home Office guide and adapt the assessment accordingly. For hospitals and other complex healthcare premises, use the primary and secondary assessment structure in HTM 05-03 Part K and obtain specialist advice.</w:t>
      </w:r>
    </w:p>
    <w:p>
      <w:pPr>
        <w:pStyle w:val="Heading2"/>
        <w:keepNext/>
      </w:pPr>
      <w:r>
        <w:t>Assessment method</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850"/>
        <w:gridCol w:w="8944"/>
      </w:tblGrid>
      <w:tr>
        <w:trPr>
          <w:tblHeader w:val="true"/>
        </w:trPr>
        <w:tc>
          <w:tcPr>
            <w:tcW w:type="dxa" w:w="8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Step</w:t>
            </w:r>
          </w:p>
        </w:tc>
        <w:tc>
          <w:tcPr>
            <w:tcW w:type="dxa" w:w="894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Required activity</w:t>
            </w:r>
          </w:p>
        </w:tc>
      </w:tr>
      <w:tr>
        <w:tc>
          <w:tcPr>
            <w:tcW w:type="dxa" w:w="8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1</w:t>
            </w:r>
          </w:p>
        </w:tc>
        <w:tc>
          <w:tcPr>
            <w:tcW w:type="dxa" w:w="89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Identify fire hazards: sources of ignition, fuel and oxygen or oxidising agents.</w:t>
            </w:r>
          </w:p>
        </w:tc>
      </w:tr>
      <w:tr>
        <w:tc>
          <w:tcPr>
            <w:tcW w:type="dxa" w:w="8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2</w:t>
            </w:r>
          </w:p>
        </w:tc>
        <w:tc>
          <w:tcPr>
            <w:tcW w:type="dxa" w:w="89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Identify people at risk, including those who may need assistance or whose behaviour, treatment or location increases risk.</w:t>
            </w:r>
          </w:p>
        </w:tc>
      </w:tr>
      <w:tr>
        <w:tc>
          <w:tcPr>
            <w:tcW w:type="dxa" w:w="8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3</w:t>
            </w:r>
          </w:p>
        </w:tc>
        <w:tc>
          <w:tcPr>
            <w:tcW w:type="dxa" w:w="89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Evaluate risk; remove or reduce hazards; assess fire precautions, evacuation and the likely consequences of fire.</w:t>
            </w:r>
          </w:p>
        </w:tc>
      </w:tr>
      <w:tr>
        <w:tc>
          <w:tcPr>
            <w:tcW w:type="dxa" w:w="8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4</w:t>
            </w:r>
          </w:p>
        </w:tc>
        <w:tc>
          <w:tcPr>
            <w:tcW w:type="dxa" w:w="89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Record the assessment and fire-safety arrangements; plan, inform, instruct and train.</w:t>
            </w:r>
          </w:p>
        </w:tc>
      </w:tr>
      <w:tr>
        <w:tc>
          <w:tcPr>
            <w:tcW w:type="dxa" w:w="8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5</w:t>
            </w:r>
          </w:p>
        </w:tc>
        <w:tc>
          <w:tcPr>
            <w:tcW w:type="dxa" w:w="89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Review the assessment and controls, keeping them current after changes, incidents or evidence of failure.</w:t>
            </w:r>
          </w:p>
        </w:tc>
      </w:tr>
    </w:tbl>
    <w:p>
      <w:pPr>
        <w:pStyle w:val="Heading2"/>
        <w:keepNext/>
      </w:pPr>
      <w:r>
        <w:t>Evidence to obtain and check</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1800"/>
        <w:gridCol w:w="7994"/>
      </w:tblGrid>
      <w:tr>
        <w:trPr>
          <w:tblHeader w:val="true"/>
        </w:trPr>
        <w:tc>
          <w:tcPr>
            <w:tcW w:type="dxa" w:w="180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Evidence group</w:t>
            </w:r>
          </w:p>
        </w:tc>
        <w:tc>
          <w:tcPr>
            <w:tcW w:type="dxa" w:w="799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Examples to review</w:t>
            </w:r>
          </w:p>
        </w:tc>
      </w:tr>
      <w:tr>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Building</w:t>
            </w:r>
          </w:p>
        </w:tc>
        <w:tc>
          <w:tcPr>
            <w:tcW w:type="dxa" w:w="79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Current plans, fire strategy, Building Regulations fire-safety information, compartmentation and fire-door surveys, alterations and fire-stopping records</w:t>
            </w:r>
          </w:p>
        </w:tc>
      </w:tr>
      <w:tr>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Systems</w:t>
            </w:r>
          </w:p>
        </w:tc>
        <w:tc>
          <w:tcPr>
            <w:tcW w:type="dxa" w:w="79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Alarm, detection, emergency lighting, extinguishers, fixed systems, smoke control, lifts, dry/wet risers and maintenance certificates where applicable</w:t>
            </w:r>
          </w:p>
        </w:tc>
      </w:tr>
      <w:tr>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Operations</w:t>
            </w:r>
          </w:p>
        </w:tc>
        <w:tc>
          <w:tcPr>
            <w:tcW w:type="dxa" w:w="79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Occupancy and dependency data, staffing levels, treatment activities, medical gas and flammable-substance arrangements, contractor and hot-work controls</w:t>
            </w:r>
          </w:p>
        </w:tc>
      </w:tr>
      <w:tr>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Management</w:t>
            </w:r>
          </w:p>
        </w:tc>
        <w:tc>
          <w:tcPr>
            <w:tcW w:type="dxa" w:w="79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Policy, emergency plan, PEEPs/GEEPs, training needs analysis, training records, drill reports, false alarms, incidents, near misses and outstanding actions</w:t>
            </w:r>
          </w:p>
        </w:tc>
      </w:tr>
      <w:tr>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Shared duties</w:t>
            </w:r>
          </w:p>
        </w:tc>
        <w:tc>
          <w:tcPr>
            <w:tcW w:type="dxa" w:w="79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Lease or responsibility matrix, landlord/managing agent information and evidence of co-operation with every other Responsible Person or Accountable Person</w:t>
            </w:r>
          </w:p>
        </w:tc>
      </w:tr>
    </w:tbl>
    <w:p>
      <w:pPr>
        <w:pStyle w:val="Heading2"/>
        <w:keepNext/>
      </w:pPr>
      <w:r>
        <w:t>Assessor competence and declaration</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2600"/>
        <w:gridCol w:w="7194"/>
      </w:tblGrid>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Assessor name</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Organisation</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Relevant qualifications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Training and healthcare fire experience</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Professional body / third-party scheme</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Limitations or specialist advice required</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bl>
    <w:p>
      <w:pPr>
        <w:spacing w:before="0" w:after="100" w:line="269" w:lineRule="auto"/>
      </w:pPr>
      <w:r>
        <w:rPr>
          <w:rFonts w:ascii="Aptos" w:hAnsi="Aptos"/>
          <w:b w:val="0"/>
          <w:i/>
          <w:color w:val="1D2428"/>
          <w:sz w:val="19"/>
        </w:rPr>
        <w:t>Declaration: I confirm that I have recorded the scope and limitations of this assessment, inspected the premises and considered the information reasonably available to me. To the best of my knowledge, the findings reflect conditions at the time of assessment. I understand that signing this declaration does not transfer the Responsible Person's statutory duties.</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1860"/>
        <w:gridCol w:w="3037"/>
        <w:gridCol w:w="1860"/>
        <w:gridCol w:w="3037"/>
      </w:tblGrid>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Assessor signature</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Date</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r>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Responsible Person acceptance</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Date</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r>
    </w:tbl>
    <w:p>
      <w:pPr>
        <w:pStyle w:val="Heading1"/>
        <w:keepNext/>
      </w:pPr>
      <w:r>
        <w:t>2. Legal and guidance framework</w:t>
      </w:r>
    </w:p>
    <w:tbl>
      <w:tblPr>
        <w:tblW w:type="dxa" w:w="9794"/>
        <w:jc w:val="left"/>
        <w:tblLayout w:type="fixed"/>
        <w:tblLook w:firstColumn="1" w:firstRow="1" w:lastColumn="0" w:lastRow="0" w:noHBand="0" w:noVBand="1" w:val="04A0"/>
        <w:tblInd w:w="120" w:type="dxa"/>
        <w:tblBorders>
          <w:top w:val="single" w:sz="10" w:space="0" w:color="E8A72B"/>
          <w:left w:val="single" w:sz="10" w:space="0" w:color="E8A72B"/>
          <w:bottom w:val="single" w:sz="10" w:space="0" w:color="E8A72B"/>
          <w:right w:val="single" w:sz="10" w:space="0" w:color="E8A72B"/>
          <w:insideH w:val="single" w:sz="10" w:space="0" w:color="E8A72B"/>
          <w:insideV w:val="single" w:sz="10" w:space="0" w:color="E8A72B"/>
        </w:tblBorders>
      </w:tblPr>
      <w:tblGrid>
        <w:gridCol w:w="9794"/>
      </w:tblGrid>
      <w:tr>
        <w:tc>
          <w:tcPr>
            <w:tcW w:type="dxa" w:w="9794"/>
            <w:tcMar>
              <w:top w:w="80" w:type="dxa"/>
              <w:start w:w="120" w:type="dxa"/>
              <w:bottom w:w="80" w:type="dxa"/>
              <w:end w:w="120" w:type="dxa"/>
            </w:tcMar>
            <w:shd w:fill="EAF2F5"/>
          </w:tcPr>
          <w:p>
            <w:pPr>
              <w:spacing w:after="60"/>
            </w:pPr>
            <w:r/>
            <w:r>
              <w:rPr>
                <w:rFonts w:ascii="Aptos" w:hAnsi="Aptos"/>
                <w:b/>
                <w:i w:val="0"/>
                <w:color w:val="102F3B"/>
                <w:sz w:val="20"/>
              </w:rPr>
              <w:t>Status of this section</w:t>
            </w:r>
          </w:p>
          <w:p>
            <w:pPr>
              <w:spacing w:before="0" w:after="0" w:line="259" w:lineRule="auto"/>
            </w:pPr>
            <w:r>
              <w:rPr>
                <w:rFonts w:ascii="Aptos" w:hAnsi="Aptos"/>
                <w:b w:val="0"/>
                <w:i w:val="0"/>
                <w:color w:val="1D2428"/>
                <w:sz w:val="18"/>
              </w:rPr>
              <w:t>This is a practical summary, not legal advice. Legislation, statutory guidance, building use and enforcement circumstances must be checked for the specific premises. British Standards and manufacturer requirements should be confirmed in their current editions.</w:t>
            </w:r>
          </w:p>
        </w:tc>
      </w:tr>
    </w:tbl>
    <w:p>
      <w:pPr>
        <w:spacing w:after="0"/>
      </w:pP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3100"/>
        <w:gridCol w:w="6694"/>
      </w:tblGrid>
      <w:tr>
        <w:trPr>
          <w:tblHeader w:val="true"/>
        </w:trPr>
        <w:tc>
          <w:tcPr>
            <w:tcW w:type="dxa" w:w="310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Legislation</w:t>
            </w:r>
          </w:p>
        </w:tc>
        <w:tc>
          <w:tcPr>
            <w:tcW w:type="dxa" w:w="669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Relevance to this assessment</w:t>
            </w:r>
          </w:p>
        </w:tc>
      </w:tr>
      <w:tr>
        <w:tc>
          <w:tcPr>
            <w:tcW w:type="dxa" w:w="3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Regulatory Reform (Fire Safety) Order 2005, as amended</w:t>
            </w:r>
          </w:p>
        </w:tc>
        <w:tc>
          <w:tcPr>
            <w:tcW w:type="dxa" w:w="66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Primary fire-safety law for workplaces in England and Wales. Requires suitable and sufficient assessment; general fire precautions; effective arrangements; detection and warning; escape; emergency procedures; maintenance; competent assistance; information, instruction, training; and co-operation/coordination.</w:t>
            </w:r>
          </w:p>
        </w:tc>
      </w:tr>
      <w:tr>
        <w:tc>
          <w:tcPr>
            <w:tcW w:type="dxa" w:w="3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Building Safety Act 2022, section 156 amendments</w:t>
            </w:r>
          </w:p>
        </w:tc>
        <w:tc>
          <w:tcPr>
            <w:tcW w:type="dxa" w:w="66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Since 1 October 2023, Responsible Persons must record the fire risk assessment and fire-safety arrangements in full, record the identity of anyone engaged to undertake or review it, keep contact information, identify and cooperate with other dutyholders and pass relevant fire-safety information to an incoming Responsible Person.</w:t>
            </w:r>
          </w:p>
        </w:tc>
      </w:tr>
      <w:tr>
        <w:tc>
          <w:tcPr>
            <w:tcW w:type="dxa" w:w="3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Fire Safety Act 2021</w:t>
            </w:r>
          </w:p>
        </w:tc>
        <w:tc>
          <w:tcPr>
            <w:tcW w:type="dxa" w:w="66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Clarifies, where the Fire Safety Order applies to a building containing two or more sets of domestic premises, that structure, external walls and relevant doors fall within scope. Consider if the healthcare premises is within or connected to such a building.</w:t>
            </w:r>
          </w:p>
        </w:tc>
      </w:tr>
      <w:tr>
        <w:tc>
          <w:tcPr>
            <w:tcW w:type="dxa" w:w="3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Fire Safety (England) Regulations 2022</w:t>
            </w:r>
          </w:p>
        </w:tc>
        <w:tc>
          <w:tcPr>
            <w:tcW w:type="dxa" w:w="66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Adds duties for certain buildings containing two or more domestic premises, with enhanced duties for high-rise residential buildings. Record applicability or why it is not applicable.</w:t>
            </w:r>
          </w:p>
        </w:tc>
      </w:tr>
      <w:tr>
        <w:tc>
          <w:tcPr>
            <w:tcW w:type="dxa" w:w="3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Building Regulations 2010, including Approved Document B and Regulation 38</w:t>
            </w:r>
          </w:p>
        </w:tc>
        <w:tc>
          <w:tcPr>
            <w:tcW w:type="dxa" w:w="66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Relevant to new buildings and material alterations. Fire-safety information must be handed over where Regulation 38 applies. The risk assessment is not a design certificate and does not replace Building Control approval.</w:t>
            </w:r>
          </w:p>
        </w:tc>
      </w:tr>
      <w:tr>
        <w:tc>
          <w:tcPr>
            <w:tcW w:type="dxa" w:w="3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Health and Safety at Work etc. Act 1974 and Management Regulations 1999</w:t>
            </w:r>
          </w:p>
        </w:tc>
        <w:tc>
          <w:tcPr>
            <w:tcW w:type="dxa" w:w="66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Support the wider duty to manage workplace risk, appoint competent assistance, establish emergency arrangements and provide information and training. The HSE process of identifying, assessing, controlling, recording and reviewing risk is applied here.</w:t>
            </w:r>
          </w:p>
        </w:tc>
      </w:tr>
      <w:tr>
        <w:tc>
          <w:tcPr>
            <w:tcW w:type="dxa" w:w="3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DSEAR 2002 and COSHH 2002</w:t>
            </w:r>
          </w:p>
        </w:tc>
        <w:tc>
          <w:tcPr>
            <w:tcW w:type="dxa" w:w="66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Relevant where flammable, explosive, oxidising or hazardous substances are stored or used, including alcohol products, solvents, laboratory materials and medical gases. A separate DSEAR assessment may be required.</w:t>
            </w:r>
          </w:p>
        </w:tc>
      </w:tr>
      <w:tr>
        <w:tc>
          <w:tcPr>
            <w:tcW w:type="dxa" w:w="3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Equality Act 2010</w:t>
            </w:r>
          </w:p>
        </w:tc>
        <w:tc>
          <w:tcPr>
            <w:tcW w:type="dxa" w:w="66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Evacuation arrangements must not disadvantage disabled people. Personal or generic emergency evacuation arrangements should be planned, resourced and tested without relying on fire and rescue services for routine evacuation.</w:t>
            </w:r>
          </w:p>
        </w:tc>
      </w:tr>
      <w:tr>
        <w:tc>
          <w:tcPr>
            <w:tcW w:type="dxa" w:w="3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Health and Social Care Act 2008 (Regulated Activities) Regulations 2014</w:t>
            </w:r>
          </w:p>
        </w:tc>
        <w:tc>
          <w:tcPr>
            <w:tcW w:type="dxa" w:w="66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CQC-regulated providers should consider Regulations 12, 15, 17 and 18: safe care and treatment; suitable and maintained premises/equipment; governance and records; and suitably trained staff.</w:t>
            </w:r>
          </w:p>
        </w:tc>
      </w:tr>
      <w:tr>
        <w:tc>
          <w:tcPr>
            <w:tcW w:type="dxa" w:w="3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CDM Regulations 2015 and other specialist law</w:t>
            </w:r>
          </w:p>
        </w:tc>
        <w:tc>
          <w:tcPr>
            <w:tcW w:type="dxa" w:w="66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Building works and maintenance can create fire risk and compromise compartmentation. Electrical, gas, pressure systems, work equipment and hazardous processes must also comply with their applicable legal regimes.</w:t>
            </w:r>
          </w:p>
        </w:tc>
      </w:tr>
    </w:tbl>
    <w:p>
      <w:pPr>
        <w:pStyle w:val="Heading2"/>
        <w:keepNext/>
      </w:pPr>
      <w:r>
        <w:t>Healthcare guidance applied</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3400"/>
        <w:gridCol w:w="6394"/>
      </w:tblGrid>
      <w:tr>
        <w:trPr>
          <w:tblHeader w:val="true"/>
        </w:trPr>
        <w:tc>
          <w:tcPr>
            <w:tcW w:type="dxa" w:w="340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Guidance</w:t>
            </w:r>
          </w:p>
        </w:tc>
        <w:tc>
          <w:tcPr>
            <w:tcW w:type="dxa" w:w="639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How it is used</w:t>
            </w:r>
          </w:p>
        </w:tc>
      </w:tr>
      <w:tr>
        <w:tc>
          <w:tcPr>
            <w:tcW w:type="dxa" w:w="34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Home Office: Fire safety risk assessment - healthcare premises</w:t>
            </w:r>
          </w:p>
        </w:tc>
        <w:tc>
          <w:tcPr>
            <w:tcW w:type="dxa" w:w="63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Article 50 guidance and the core sector benchmark for less complex premises whose main use is healthcare.</w:t>
            </w:r>
          </w:p>
        </w:tc>
      </w:tr>
      <w:tr>
        <w:tc>
          <w:tcPr>
            <w:tcW w:type="dxa" w:w="34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HSE: risk assessment and emergency procedures</w:t>
            </w:r>
          </w:p>
        </w:tc>
        <w:tc>
          <w:tcPr>
            <w:tcW w:type="dxa" w:w="63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Used to structure hazard identification, people at risk, existing controls, further action, ownership, deadlines and review.</w:t>
            </w:r>
          </w:p>
        </w:tc>
      </w:tr>
      <w:tr>
        <w:tc>
          <w:tcPr>
            <w:tcW w:type="dxa" w:w="34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HTM 05-01: Managing healthcare fire safety (2026)</w:t>
            </w:r>
          </w:p>
        </w:tc>
        <w:tc>
          <w:tcPr>
            <w:tcW w:type="dxa" w:w="63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Applied proportionately to governance, roles, policy, records, emergency planning and assurance. Full structures are most relevant to complex organisations.</w:t>
            </w:r>
          </w:p>
        </w:tc>
      </w:tr>
      <w:tr>
        <w:tc>
          <w:tcPr>
            <w:tcW w:type="dxa" w:w="34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HTM 05-02</w:t>
            </w:r>
          </w:p>
        </w:tc>
        <w:tc>
          <w:tcPr>
            <w:tcW w:type="dxa" w:w="63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Relevant to the design and functional fire precautions of healthcare premises and to significant alterations or questions about the building's fire strategy.</w:t>
            </w:r>
          </w:p>
        </w:tc>
      </w:tr>
      <w:tr>
        <w:tc>
          <w:tcPr>
            <w:tcW w:type="dxa" w:w="34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HTM 05-03 Part A (Training)</w:t>
            </w:r>
          </w:p>
        </w:tc>
        <w:tc>
          <w:tcPr>
            <w:tcW w:type="dxa" w:w="63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Used for the training-needs analysis, local induction, role-based training, exercises, records and audit.</w:t>
            </w:r>
          </w:p>
        </w:tc>
      </w:tr>
      <w:tr>
        <w:tc>
          <w:tcPr>
            <w:tcW w:type="dxa" w:w="34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HTM 05-03 Parts B, C and F</w:t>
            </w:r>
          </w:p>
        </w:tc>
        <w:tc>
          <w:tcPr>
            <w:tcW w:type="dxa" w:w="63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Considered for detection/alarm and unwanted fire signals; textiles/furnishings; and arson prevention.</w:t>
            </w:r>
          </w:p>
        </w:tc>
      </w:tr>
      <w:tr>
        <w:tc>
          <w:tcPr>
            <w:tcW w:type="dxa" w:w="34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HTM 05-03 Part K (2024)</w:t>
            </w:r>
          </w:p>
        </w:tc>
        <w:tc>
          <w:tcPr>
            <w:tcW w:type="dxa" w:w="63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Used for the 5 x 5 life-safety risk matrix and complex-premises principles, including primary/secondary assessments and occupant dependency.</w:t>
            </w:r>
          </w:p>
        </w:tc>
      </w:tr>
    </w:tbl>
    <w:p>
      <w:pPr>
        <w:pStyle w:val="Heading1"/>
        <w:keepNext/>
      </w:pPr>
      <w:r>
        <w:t>3. Premises, activities and scope</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2600"/>
        <w:gridCol w:w="7194"/>
      </w:tblGrid>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Premises name and address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Owner</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Occupier / employer</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Landlord / managing agent</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Responsible Person(s)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7"/>
              </w:rPr>
              <w:t>Name, organisation, UK address and extent of control</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Other dutyholders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7"/>
              </w:rPr>
              <w:t>Other Responsible Persons / Accountable Persons and contact arrangements</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Enforcing authority</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7"/>
              </w:rPr>
              <w:t>Usually the local fire and rescue authority</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Assessment scope</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7"/>
              </w:rPr>
              <w:t>Whole building / demised area / named departments / external areas</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Areas excluded and reason</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Information unavailable / assumptions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bl>
    <w:p>
      <w:pPr>
        <w:pStyle w:val="Heading2"/>
        <w:keepNext/>
      </w:pPr>
      <w:r>
        <w:t>Building profile</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1860"/>
        <w:gridCol w:w="3037"/>
        <w:gridCol w:w="1860"/>
        <w:gridCol w:w="3037"/>
      </w:tblGrid>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Year built / converted</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Construction type</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r>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Floors above ground</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Basements</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r>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Approx. floor area</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Building height</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r>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Single / multi-occupancy</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Listed / historic</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r>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Fire strategy available</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6"/>
              </w:rPr>
              <w:t>Y / N</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Current plans available</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6"/>
              </w:rPr>
              <w:t>Y / N</w:t>
            </w:r>
          </w:p>
        </w:tc>
      </w:tr>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Sleeping accommodation</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6"/>
              </w:rPr>
              <w:t>Y / N</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Higher-risk building issues</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6"/>
              </w:rPr>
              <w:t>Y / N / N/A</w:t>
            </w:r>
          </w:p>
        </w:tc>
      </w:tr>
    </w:tbl>
    <w:p>
      <w:pPr>
        <w:pStyle w:val="Heading2"/>
        <w:keepNext/>
      </w:pPr>
      <w:r>
        <w:t>Healthcare use and operating pattern</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2600"/>
        <w:gridCol w:w="7194"/>
      </w:tblGrid>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Healthcare services and treatments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7"/>
              </w:rPr>
              <w:t>Include procedures, sedation, surgery, diagnostics, decontamination and laboratory activity</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Opening hours and out-of-hours use</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Maximum staff / patients / visitors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Minimum staffing level</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7"/>
              </w:rPr>
              <w:t>Include evenings, nights, weekends and lone working</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High-risk rooms or processes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Medical gas systems / cylinders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7"/>
              </w:rPr>
              <w:t>Type, quantity, location and isolation arrangements</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Flammable / oxidising substances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7"/>
              </w:rPr>
              <w:t>Type, quantity, location and DSEAR status</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Recent or planned building work</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Previous fires, false alarms or near misses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bl>
    <w:p>
      <w:pPr>
        <w:pStyle w:val="Heading2"/>
        <w:keepNext/>
      </w:pPr>
      <w:r>
        <w:t>Evacuation strategy</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1860"/>
        <w:gridCol w:w="3037"/>
        <w:gridCol w:w="1860"/>
        <w:gridCol w:w="3037"/>
      </w:tblGrid>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Strategy</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6"/>
              </w:rPr>
              <w:t>Simultaneous / progressive horizontal / phased / other</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Assembly / receiving area</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r>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Evacuation lifts</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6"/>
              </w:rPr>
              <w:t>Y / N / N/A</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Refuges / EVC</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6"/>
              </w:rPr>
              <w:t>Y / N / N/A</w:t>
            </w:r>
          </w:p>
        </w:tc>
      </w:tr>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Staff assistance required</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Strategy confirmed by</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6"/>
              </w:rPr>
              <w:t>Fire strategy / competent person / other</w:t>
            </w:r>
          </w:p>
        </w:tc>
      </w:tr>
    </w:tbl>
    <w:p>
      <w:pPr>
        <w:pStyle w:val="Heading1"/>
        <w:keepNext/>
      </w:pPr>
      <w:r>
        <w:t>4. People at risk</w:t>
      </w:r>
    </w:p>
    <w:p>
      <w:pPr>
        <w:spacing w:before="0" w:after="100" w:line="269" w:lineRule="auto"/>
      </w:pPr>
      <w:r>
        <w:rPr>
          <w:rFonts w:ascii="Aptos" w:hAnsi="Aptos"/>
          <w:b w:val="0"/>
          <w:i w:val="0"/>
          <w:color w:val="1D2428"/>
          <w:sz w:val="19"/>
        </w:rPr>
        <w:t>Record everyone who may be affected, not only employees. Occupant numbers, location, familiarity, mobility, cognition, treatment, medication, sensory needs, communication and staffing must be considered together. In healthcare settings, classify patient dependency as independent, dependent or very high dependency where applicable.</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1800"/>
        <w:gridCol w:w="2950"/>
        <w:gridCol w:w="1450"/>
        <w:gridCol w:w="2850"/>
        <w:gridCol w:w="744"/>
      </w:tblGrid>
      <w:tr>
        <w:trPr>
          <w:tblHeader w:val="true"/>
        </w:trPr>
        <w:tc>
          <w:tcPr>
            <w:tcW w:type="dxa" w:w="180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Group</w:t>
            </w:r>
          </w:p>
        </w:tc>
        <w:tc>
          <w:tcPr>
            <w:tcW w:type="dxa" w:w="29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Relevant circumstances</w:t>
            </w:r>
          </w:p>
        </w:tc>
        <w:tc>
          <w:tcPr>
            <w:tcW w:type="dxa" w:w="14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Max. number / location</w:t>
            </w:r>
          </w:p>
        </w:tc>
        <w:tc>
          <w:tcPr>
            <w:tcW w:type="dxa" w:w="28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Assistance / PEEP / control</w:t>
            </w:r>
          </w:p>
        </w:tc>
        <w:tc>
          <w:tcPr>
            <w:tcW w:type="dxa" w:w="74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Action ref</w:t>
            </w:r>
          </w:p>
        </w:tc>
      </w:tr>
      <w:tr>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Patients - independent</w:t>
            </w:r>
          </w:p>
        </w:tc>
        <w:tc>
          <w:tcPr>
            <w:tcW w:type="dxa" w:w="29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Can evacuate without staff assistance or with minimal assistance and can understand wayfinding</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8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7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Patients - dependent</w:t>
            </w:r>
          </w:p>
        </w:tc>
        <w:tc>
          <w:tcPr>
            <w:tcW w:type="dxa" w:w="29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Need staff assistance, equipment, guidance or additional time</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8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7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Patients - very high dependency</w:t>
            </w:r>
          </w:p>
        </w:tc>
        <w:tc>
          <w:tcPr>
            <w:tcW w:type="dxa" w:w="29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Clinical condition or treatment creates major evacuation difficulty or immediate clinical risk</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8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7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Disabled staff / visitors</w:t>
            </w:r>
          </w:p>
        </w:tc>
        <w:tc>
          <w:tcPr>
            <w:tcW w:type="dxa" w:w="29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Mobility, sensory, cognitive, communication or non-visible impairments</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8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7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Children / babies / older people</w:t>
            </w:r>
          </w:p>
        </w:tc>
        <w:tc>
          <w:tcPr>
            <w:tcW w:type="dxa" w:w="29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Include accompanying adults and supervision needs</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8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7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Mental health / learning disability / dementia</w:t>
            </w:r>
          </w:p>
        </w:tc>
        <w:tc>
          <w:tcPr>
            <w:tcW w:type="dxa" w:w="29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Potential distress, delayed response, restricted movement or behaviour affecting evacuation</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8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7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Sedated, medicated, anaesthetised or intoxicated people</w:t>
            </w:r>
          </w:p>
        </w:tc>
        <w:tc>
          <w:tcPr>
            <w:tcW w:type="dxa" w:w="29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May be unable to recognise alarm or self-evacuate</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8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7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People in isolation or controlled areas</w:t>
            </w:r>
          </w:p>
        </w:tc>
        <w:tc>
          <w:tcPr>
            <w:tcW w:type="dxa" w:w="29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Infection control, secure doors, diagnostic areas, toilets and changing rooms</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8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7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Lone, night, bank, agency or temporary staff</w:t>
            </w:r>
          </w:p>
        </w:tc>
        <w:tc>
          <w:tcPr>
            <w:tcW w:type="dxa" w:w="29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May be unfamiliar or have limited support</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8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7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Visitors, contractors and delivery staff</w:t>
            </w:r>
          </w:p>
        </w:tc>
        <w:tc>
          <w:tcPr>
            <w:tcW w:type="dxa" w:w="29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Unfamiliar with routes and local procedures</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8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7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People with language or literacy barriers</w:t>
            </w:r>
          </w:p>
        </w:tc>
        <w:tc>
          <w:tcPr>
            <w:tcW w:type="dxa" w:w="29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May not understand alarms, signs or verbal instructions</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8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7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People outside / adjacent / above / below</w:t>
            </w:r>
          </w:p>
        </w:tc>
        <w:tc>
          <w:tcPr>
            <w:tcW w:type="dxa" w:w="29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Neighbours, other tenants and anyone affected by smoke, fire or evacuation</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8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7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bl>
    <w:p>
      <w:pPr>
        <w:pStyle w:val="Heading2"/>
        <w:keepNext/>
      </w:pPr>
      <w:r>
        <w:t>PEEP / assisted evacuation assurance</w:t>
      </w:r>
    </w:p>
    <w:p>
      <w:pPr>
        <w:pStyle w:val="Heading2"/>
        <w:keepNext/>
      </w:pPr>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620"/>
        <w:gridCol w:w="4860"/>
        <w:gridCol w:w="1050"/>
        <w:gridCol w:w="3264"/>
      </w:tblGrid>
      <w:tr>
        <w:trPr>
          <w:tblHeader w:val="true"/>
        </w:trPr>
        <w:tc>
          <w:tcPr>
            <w:tcW w:type="dxa" w:w="62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Ref</w:t>
            </w:r>
          </w:p>
        </w:tc>
        <w:tc>
          <w:tcPr>
            <w:tcW w:type="dxa" w:w="486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Assessment point</w:t>
            </w:r>
          </w:p>
        </w:tc>
        <w:tc>
          <w:tcPr>
            <w:tcW w:type="dxa" w:w="10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Y / N / N/A</w:t>
            </w:r>
          </w:p>
        </w:tc>
        <w:tc>
          <w:tcPr>
            <w:tcW w:type="dxa" w:w="326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Evidence, observations, deficiencies and action ref</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P1</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 process identifies staff and known regular visitors who require a personal emergency evacuation plan (PEEP).</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P2</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Arrangements address short-term needs, including injury, pregnancy, treatment effects and temporary reduced mobility.</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P3</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Generic arrangements cover patients and visitors whose individual needs are not known before arrival.</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P4</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Evacuation aids are suitable, accessible, maintained and supported by enough trained staff on every relevant shift.</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P5</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Refuges and emergency voice communication systems, where provided, are understood and maintained; refuge use does not depend on rescue by the fire service.</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P6</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PEEPs and generic plans are practised or safely simulated and reviewed when needs, staffing or the building changes.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bl>
    <w:p>
      <w:pPr>
        <w:pStyle w:val="Heading1"/>
        <w:keepNext/>
      </w:pPr>
      <w:r>
        <w:t>5. Step 1 - Identify fire hazards</w:t>
      </w:r>
    </w:p>
    <w:p>
      <w:pPr>
        <w:spacing w:before="0" w:after="100" w:line="269" w:lineRule="auto"/>
      </w:pPr>
      <w:r>
        <w:rPr>
          <w:rFonts w:ascii="Aptos" w:hAnsi="Aptos"/>
          <w:b w:val="0"/>
          <w:i w:val="0"/>
          <w:color w:val="1D2428"/>
          <w:sz w:val="19"/>
        </w:rPr>
        <w:t>Inspect normal operations, foreseeable misuse, abnormal conditions, maintenance, power loss and building works. Medical oxygen and other oxidisers are not fuels, but can greatly intensify combustion and must be assessed with ignition sources and combustible materials.</w:t>
      </w:r>
    </w:p>
    <w:p>
      <w:pPr>
        <w:pStyle w:val="Heading2"/>
        <w:keepNext/>
      </w:pPr>
      <w:r>
        <w:t>5.1 Sources of ignition</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620"/>
        <w:gridCol w:w="4860"/>
        <w:gridCol w:w="1050"/>
        <w:gridCol w:w="3264"/>
      </w:tblGrid>
      <w:tr>
        <w:trPr>
          <w:tblHeader w:val="true"/>
        </w:trPr>
        <w:tc>
          <w:tcPr>
            <w:tcW w:type="dxa" w:w="62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Ref</w:t>
            </w:r>
          </w:p>
        </w:tc>
        <w:tc>
          <w:tcPr>
            <w:tcW w:type="dxa" w:w="486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Assessment point</w:t>
            </w:r>
          </w:p>
        </w:tc>
        <w:tc>
          <w:tcPr>
            <w:tcW w:type="dxa" w:w="10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Y / N / N/A</w:t>
            </w:r>
          </w:p>
        </w:tc>
        <w:tc>
          <w:tcPr>
            <w:tcW w:type="dxa" w:w="326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Evidence, observations, deficiencies and action ref</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I1</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Fixed electrical installation is inspected and maintained; defects, overheating and unauthorised work are controlled.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I2</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Portable and clinical electrical equipment is selected, used, checked and maintained according to risk and manufacturer instructions; adapters and extension leads are controlled.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I3</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Charging of phones, clinical devices, mobility equipment and lithium-ion batteries is supervised and located away from escape routes and combustible storage.</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I4</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E-bikes, e-scooters and removable high-capacity batteries are prohibited or subject to a specific safe charging and storage arrangement.</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I5</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Portable heaters and fans are prohibited or strictly controlled, positioned safely and switched off when unattended.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I6</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Cooking, microwaves, toasters, vending machines and staff kitchens are suitably located, cleaned, supervised and isolated after use.</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I7</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Boilers, plant, generators, UPS/battery systems and mechanical equipment are maintained and plant rooms kept clear.</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I8</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Hot work, soldering, welding, grinding and contractor activities use permits, isolation, fire watch and post-work checks.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I9</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Clinical ignition sources such as lasers, electrosurgery/diathermy, fibre-optic lights and heated instruments are identified and procedure-specific controls are in place.</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I10</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Smoking and vaping are effectively controlled, including external areas, oxygen users and evidence of illicit smoking.</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I11</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Arson and deliberate ignition risks are controlled through security, access, waste placement, lighting and reporting.</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I12</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Lightning, static electricity and other specialist ignition risks have been considered where relevant.</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bl>
    <w:p>
      <w:pPr>
        <w:pStyle w:val="Heading2"/>
        <w:keepNext/>
      </w:pPr>
      <w:r>
        <w:t>5.2 Sources of fuel and oxidising agents</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620"/>
        <w:gridCol w:w="4860"/>
        <w:gridCol w:w="1050"/>
        <w:gridCol w:w="3264"/>
      </w:tblGrid>
      <w:tr>
        <w:trPr>
          <w:tblHeader w:val="true"/>
        </w:trPr>
        <w:tc>
          <w:tcPr>
            <w:tcW w:type="dxa" w:w="62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Ref</w:t>
            </w:r>
          </w:p>
        </w:tc>
        <w:tc>
          <w:tcPr>
            <w:tcW w:type="dxa" w:w="486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Assessment point</w:t>
            </w:r>
          </w:p>
        </w:tc>
        <w:tc>
          <w:tcPr>
            <w:tcW w:type="dxa" w:w="10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Y / N / N/A</w:t>
            </w:r>
          </w:p>
        </w:tc>
        <w:tc>
          <w:tcPr>
            <w:tcW w:type="dxa" w:w="326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Evidence, observations, deficiencies and action ref</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F1</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Paper records, stationery, packaging and general storage are minimised and not stored in escape routes or against ignition sources.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F2</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Clinical and domestic waste is removed frequently; bins and external waste stores are secure and safely separated from the building.</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F3</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Textiles, curtains, blinds, upholstered furniture, mattresses and privacy screens are suitable for their location and condition.</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F4</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Clean and used linen/laundry is stored safely and accumulation is controlled.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F5</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Alcohol hand rubs, solvents, aerosols, cleaning products, laboratory chemicals and other flammables are limited, labelled and stored appropriately.</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F6</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Flammable liquids and dangerous substances have a suitable DSEAR/COSHH assessment, with ventilation, separation and spill/emergency controls.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F7</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Medical gas cylinders are secured, segregated, labelled, ventilated and protected from heat, damage, theft and incompatible materials.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F8</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Oxygen enrichment is prevented; leaks, tubing, masks, oxygen tents and patient use are controlled and ignition warnings are clear.</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F9</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LPG, fuels and other gases are absent or subject to a specific competent assessment and safe external/internal storage controls.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F10</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High fire-load areas such as stores, archives, pharmacies, laundry, server rooms and roof/plant spaces are identified and suitably protected.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F11</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Decorations, displays, seasonal items and notices do not increase fire load, obscure signs or compromise fire doors and detection.</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F12</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Combustible external wall, roof, cladding, insulation or void materials are known or investigated where relevant.</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bl>
    <w:p>
      <w:pPr>
        <w:pStyle w:val="Heading2"/>
        <w:keepNext/>
      </w:pPr>
      <w:r>
        <w:t>5.3 Hazard locations and activities</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2600"/>
        <w:gridCol w:w="7194"/>
      </w:tblGrid>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Clinical treatment / procedure risks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Operating / laser / endoscopy / dental / decontamination risks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Medical gas manifold, cylinder store and isolation points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Laboratory, pharmacy and chemical storage</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Plant, electrical, server, UPS and generator rooms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Kitchen, laundry, waste and external storage</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Roof, basement, voids and concealed spaces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Other significant hazards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bl>
    <w:p>
      <w:pPr>
        <w:pStyle w:val="Heading1"/>
        <w:keepNext/>
      </w:pPr>
      <w:r>
        <w:t>6. Step 3 - Evaluate, remove, reduce and protect</w:t>
      </w:r>
    </w:p>
    <w:p>
      <w:pPr>
        <w:spacing w:before="0" w:after="100" w:line="269" w:lineRule="auto"/>
      </w:pPr>
      <w:r>
        <w:rPr>
          <w:rFonts w:ascii="Aptos" w:hAnsi="Aptos"/>
          <w:b w:val="0"/>
          <w:i w:val="0"/>
          <w:color w:val="1D2428"/>
          <w:sz w:val="19"/>
        </w:rPr>
        <w:t>For each question, record evidence rather than relying on a tick. A 'Yes' should mean the measure is suitable for the actual risk, occupants and evacuation strategy. A 'No' should link to the action plan and, where necessary, immediate interim controls.</w:t>
      </w:r>
    </w:p>
    <w:p>
      <w:pPr>
        <w:pStyle w:val="Heading2"/>
        <w:keepNext/>
      </w:pPr>
      <w:r>
        <w:t>6.1 Fire-safety management and prevention</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620"/>
        <w:gridCol w:w="4860"/>
        <w:gridCol w:w="1050"/>
        <w:gridCol w:w="3264"/>
      </w:tblGrid>
      <w:tr>
        <w:trPr>
          <w:tblHeader w:val="true"/>
        </w:trPr>
        <w:tc>
          <w:tcPr>
            <w:tcW w:type="dxa" w:w="62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Ref</w:t>
            </w:r>
          </w:p>
        </w:tc>
        <w:tc>
          <w:tcPr>
            <w:tcW w:type="dxa" w:w="486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Assessment point</w:t>
            </w:r>
          </w:p>
        </w:tc>
        <w:tc>
          <w:tcPr>
            <w:tcW w:type="dxa" w:w="10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Y / N / N/A</w:t>
            </w:r>
          </w:p>
        </w:tc>
        <w:tc>
          <w:tcPr>
            <w:tcW w:type="dxa" w:w="326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Evidence, observations, deficiencies and action ref</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M1</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 current fire safety policy identifies accountability, competent assistance, local roles and reporting lines.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M2</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Fire-safety arrangements are recorded in full and proportionate to the size, complexity and risk of the premises.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M3</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Routine workplace inspections control housekeeping, storage, waste, ignition sources and escape routes.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M4</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Defects and impairments to fire precautions are reported, risk assessed, prioritised, tracked and closed.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M5</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Contractors receive local fire information and are controlled through permits, supervision and handover.</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M6</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Building changes, penetration of fire-resisting construction and installation works are approved, documented and fire-stopped by competent persons.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M7</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Shared-premises responsibilities are documented and Responsible Persons cooperate on alarms, escape, drills, maintenance and information.</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M8</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Security measures do not prevent immediate escape and arrangements address deliberate fire-setting.</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bl>
    <w:p>
      <w:pPr>
        <w:pStyle w:val="Heading2"/>
        <w:keepNext/>
      </w:pPr>
      <w:r>
        <w:t>6.2 Means of escape and evacuation</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620"/>
        <w:gridCol w:w="4860"/>
        <w:gridCol w:w="1050"/>
        <w:gridCol w:w="3264"/>
      </w:tblGrid>
      <w:tr>
        <w:trPr>
          <w:tblHeader w:val="true"/>
        </w:trPr>
        <w:tc>
          <w:tcPr>
            <w:tcW w:type="dxa" w:w="62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Ref</w:t>
            </w:r>
          </w:p>
        </w:tc>
        <w:tc>
          <w:tcPr>
            <w:tcW w:type="dxa" w:w="486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Assessment point</w:t>
            </w:r>
          </w:p>
        </w:tc>
        <w:tc>
          <w:tcPr>
            <w:tcW w:type="dxa" w:w="10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Y / N / N/A</w:t>
            </w:r>
          </w:p>
        </w:tc>
        <w:tc>
          <w:tcPr>
            <w:tcW w:type="dxa" w:w="326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Evidence, observations, deficiencies and action ref</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E1</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The evacuation strategy is documented, compatible with the building fire strategy and suitable for patient dependency and staffing.</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E2</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There are enough escape routes and exits of suitable capacity, length and direction for the occupancy and risk.</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E3</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Escape routes, stairs and exits are available, unobstructed, adequately protected and lead to a place of relative or ultimate safety.</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E4</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Final exits open easily without a key or specialist knowledge and security-release arrangements fail safe where required.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E5</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Travel distances, dead ends, inner rooms and alternative routes have been assessed against appropriate healthcare/building guidance.</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E6</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Doors on escape routes open in an appropriate direction and sliding, automatic, revolving or access-controlled doors have safe emergency arrangements.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E7</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Lifts are not relied on unless specifically designed and managed for evacuation; evacuation lifts and refuges are controlled by the plan.</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E8</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External escape routes and assembly/receiving areas remain usable in all expected conditions and do not expose people to traffic or fire spread.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E9</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Staffing, equipment, compartment capacity and transfer arrangements are adequate for assisted or progressive horizontal evacuation.</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E10</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The plan covers people in toilets, treatment rooms, isolation, imaging, secure areas and any location where an alarm may not be heard or understood.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bl>
    <w:p>
      <w:pPr>
        <w:pStyle w:val="Heading2"/>
        <w:keepNext/>
      </w:pPr>
      <w:r>
        <w:t>6.3 Passive fire protection</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620"/>
        <w:gridCol w:w="4860"/>
        <w:gridCol w:w="1050"/>
        <w:gridCol w:w="3264"/>
      </w:tblGrid>
      <w:tr>
        <w:trPr>
          <w:tblHeader w:val="true"/>
        </w:trPr>
        <w:tc>
          <w:tcPr>
            <w:tcW w:type="dxa" w:w="62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Ref</w:t>
            </w:r>
          </w:p>
        </w:tc>
        <w:tc>
          <w:tcPr>
            <w:tcW w:type="dxa" w:w="486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Assessment point</w:t>
            </w:r>
          </w:p>
        </w:tc>
        <w:tc>
          <w:tcPr>
            <w:tcW w:type="dxa" w:w="10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Y / N / N/A</w:t>
            </w:r>
          </w:p>
        </w:tc>
        <w:tc>
          <w:tcPr>
            <w:tcW w:type="dxa" w:w="326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Evidence, observations, deficiencies and action ref</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C1</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Compartmentation and sub-compartmentation are appropriate to the evacuation strategy and free from unsealed penetrations or uncontrolled damage.</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C2</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Fire-resisting walls, floors, ceilings, shafts, ducts, service risers and cavity barriers are known and maintained.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C3</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Fire doors are correctly specified, fitted, labelled where appropriate and free from damage, excessive gaps or unauthorised alteration.</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C4</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Self-closing devices, hold-open/release devices, hinges, latches, glazing, intumescent strips and smoke seals operate and are not painted over or damaged.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C5</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Fire doors are not wedged open; staff understand their purpose and any hold-open device releases on alarm or power failure as designed.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C6</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Hazard rooms, plant rooms, stores, laundries, kitchens, laboratories and gas/chemical areas have suitable fire separation and doors.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C7</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Dampers, fire curtains, shutters and smoke-control measures are accessible, tested and included in maintenance.</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C8</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External walls, roofs, canopies, temporary structures and adjacent premises do not create unacceptable external fire spread or escape risk.</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bl>
    <w:p>
      <w:pPr>
        <w:pStyle w:val="Heading2"/>
        <w:keepNext/>
      </w:pPr>
      <w:r>
        <w:t>6.4 Fire detection, alarm and communications</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620"/>
        <w:gridCol w:w="4860"/>
        <w:gridCol w:w="1050"/>
        <w:gridCol w:w="3264"/>
      </w:tblGrid>
      <w:tr>
        <w:trPr>
          <w:tblHeader w:val="true"/>
        </w:trPr>
        <w:tc>
          <w:tcPr>
            <w:tcW w:type="dxa" w:w="62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Ref</w:t>
            </w:r>
          </w:p>
        </w:tc>
        <w:tc>
          <w:tcPr>
            <w:tcW w:type="dxa" w:w="486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Assessment point</w:t>
            </w:r>
          </w:p>
        </w:tc>
        <w:tc>
          <w:tcPr>
            <w:tcW w:type="dxa" w:w="10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Y / N / N/A</w:t>
            </w:r>
          </w:p>
        </w:tc>
        <w:tc>
          <w:tcPr>
            <w:tcW w:type="dxa" w:w="326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Evidence, observations, deficiencies and action ref</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A1</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The fire detection and alarm category/design is documented and appropriate for the building, occupancy, clinical risk and evacuation strategy.</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A2</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Manual call points, automatic detectors, sounders, visual devices and interfaces provide effective coverage and warning.</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A3</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Alarm signals can be heard, seen or otherwise perceived throughout occupied areas, including high-noise, isolated and accessible facilities.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A4</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Zoning, indication and address information allows staff and the fire service to identify the affected location quickly.</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A5</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Alarm interfaces operate as intended, including door releases, access control, lifts, ventilation, smoke control, gas systems and remote monitoring.</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A6</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False alarms and unwanted fire signals are recorded, investigated and reduced without compromising detection or staff response.</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A7</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Weekly user tests and competent servicing are completed at the intervals required by the system standard, design and manufacturer.</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A8</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Any alarm impairment has a documented risk assessment, interim measures, escalation and restoration process.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bl>
    <w:p>
      <w:pPr>
        <w:pStyle w:val="Heading2"/>
        <w:keepNext/>
      </w:pPr>
      <w:r>
        <w:t>6.5 Emergency lighting, signs and firefighting facilities</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620"/>
        <w:gridCol w:w="4860"/>
        <w:gridCol w:w="1050"/>
        <w:gridCol w:w="3264"/>
      </w:tblGrid>
      <w:tr>
        <w:trPr>
          <w:tblHeader w:val="true"/>
        </w:trPr>
        <w:tc>
          <w:tcPr>
            <w:tcW w:type="dxa" w:w="62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Ref</w:t>
            </w:r>
          </w:p>
        </w:tc>
        <w:tc>
          <w:tcPr>
            <w:tcW w:type="dxa" w:w="486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Assessment point</w:t>
            </w:r>
          </w:p>
        </w:tc>
        <w:tc>
          <w:tcPr>
            <w:tcW w:type="dxa" w:w="10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Y / N / N/A</w:t>
            </w:r>
          </w:p>
        </w:tc>
        <w:tc>
          <w:tcPr>
            <w:tcW w:type="dxa" w:w="326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Evidence, observations, deficiencies and action ref</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Q1</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Emergency lighting covers escape routes, exits, changes of level, signs, fire equipment, alarm points and high-risk task areas as required.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Q2</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Emergency lighting is function-tested and full-duration tested at appropriate intervals, with defects recorded and corrected.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Q3</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Escape and fire-safety signs are consistent, visible, illuminated where required and understandable to occupants.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Q4</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Fire action notices are current, site-specific and positioned where staff and relevant visitors will see them.</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Q5</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Portable extinguishers are appropriate, correctly located, unobstructed, signed, visually checked and maintained.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Q6</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Only staff expected to use extinguishers under the emergency plan receive suitable practical training; no one is expected to fight a fire or place themselves at risk.</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Q7</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Fixed firefighting systems, sprinklers, hose reels, wet/dry risers, suppression and smoke control are maintained where provided.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Q8</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Firefighter access, appliance routes, hydrants, inlets, keys, lifts and information are available and unobstructed where relevant.</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Q9</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 current premises information plan identifies hazards, medical gases, isolation points, high-risk patients/areas and firefighting facilities where appropriate.</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bl>
    <w:p>
      <w:pPr>
        <w:pStyle w:val="Heading2"/>
        <w:keepNext/>
      </w:pPr>
      <w:r>
        <w:t>6.6 Maintenance and testing evidence</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2100"/>
        <w:gridCol w:w="3750"/>
        <w:gridCol w:w="2100"/>
        <w:gridCol w:w="1844"/>
      </w:tblGrid>
      <w:tr>
        <w:trPr>
          <w:tblHeader w:val="true"/>
        </w:trPr>
        <w:tc>
          <w:tcPr>
            <w:tcW w:type="dxa" w:w="210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System / item</w:t>
            </w:r>
          </w:p>
        </w:tc>
        <w:tc>
          <w:tcPr>
            <w:tcW w:type="dxa" w:w="37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Benchmark to verify - not a substitute for the applicable standard</w:t>
            </w:r>
          </w:p>
        </w:tc>
        <w:tc>
          <w:tcPr>
            <w:tcW w:type="dxa" w:w="210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Last completed / evidence</w:t>
            </w:r>
          </w:p>
        </w:tc>
        <w:tc>
          <w:tcPr>
            <w:tcW w:type="dxa" w:w="184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Defect / action ref</w:t>
            </w:r>
          </w:p>
        </w:tc>
      </w:tr>
      <w:tr>
        <w:tc>
          <w:tcPr>
            <w:tcW w:type="dxa" w:w="2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Fire alarm user test</w:t>
            </w:r>
          </w:p>
        </w:tc>
        <w:tc>
          <w:tcPr>
            <w:tcW w:type="dxa" w:w="37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Common benchmark: weekly, rotating call points</w:t>
            </w:r>
          </w:p>
        </w:tc>
        <w:tc>
          <w:tcPr>
            <w:tcW w:type="dxa" w:w="2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2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Fire alarm competent inspection/service</w:t>
            </w:r>
          </w:p>
        </w:tc>
        <w:tc>
          <w:tcPr>
            <w:tcW w:type="dxa" w:w="37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System standard, risk and contract; commonly six-monthly</w:t>
            </w:r>
          </w:p>
        </w:tc>
        <w:tc>
          <w:tcPr>
            <w:tcW w:type="dxa" w:w="2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2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Emergency lighting function test</w:t>
            </w:r>
          </w:p>
        </w:tc>
        <w:tc>
          <w:tcPr>
            <w:tcW w:type="dxa" w:w="37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Common benchmark: monthly</w:t>
            </w:r>
          </w:p>
        </w:tc>
        <w:tc>
          <w:tcPr>
            <w:tcW w:type="dxa" w:w="2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2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Emergency lighting full-duration test</w:t>
            </w:r>
          </w:p>
        </w:tc>
        <w:tc>
          <w:tcPr>
            <w:tcW w:type="dxa" w:w="37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Common benchmark: annually</w:t>
            </w:r>
          </w:p>
        </w:tc>
        <w:tc>
          <w:tcPr>
            <w:tcW w:type="dxa" w:w="2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2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Portable extinguisher visual check</w:t>
            </w:r>
          </w:p>
        </w:tc>
        <w:tc>
          <w:tcPr>
            <w:tcW w:type="dxa" w:w="37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Local routine, commonly monthly</w:t>
            </w:r>
          </w:p>
        </w:tc>
        <w:tc>
          <w:tcPr>
            <w:tcW w:type="dxa" w:w="2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2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Portable extinguisher competent service</w:t>
            </w:r>
          </w:p>
        </w:tc>
        <w:tc>
          <w:tcPr>
            <w:tcW w:type="dxa" w:w="37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Relevant standard/manufacturer; commonly annually</w:t>
            </w:r>
          </w:p>
        </w:tc>
        <w:tc>
          <w:tcPr>
            <w:tcW w:type="dxa" w:w="2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2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Fire doors and escape routes</w:t>
            </w:r>
          </w:p>
        </w:tc>
        <w:tc>
          <w:tcPr>
            <w:tcW w:type="dxa" w:w="37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Risk-based local checks and periodic competent inspection</w:t>
            </w:r>
          </w:p>
        </w:tc>
        <w:tc>
          <w:tcPr>
            <w:tcW w:type="dxa" w:w="2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2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Fixed systems / smoke control / lifts / risers</w:t>
            </w:r>
          </w:p>
        </w:tc>
        <w:tc>
          <w:tcPr>
            <w:tcW w:type="dxa" w:w="37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Relevant standard, manufacturer and fire strategy</w:t>
            </w:r>
          </w:p>
        </w:tc>
        <w:tc>
          <w:tcPr>
            <w:tcW w:type="dxa" w:w="2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2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Electrical / gas / clinical equipment</w:t>
            </w:r>
          </w:p>
        </w:tc>
        <w:tc>
          <w:tcPr>
            <w:tcW w:type="dxa" w:w="37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Statutory, risk-based and manufacturer requirements</w:t>
            </w:r>
          </w:p>
        </w:tc>
        <w:tc>
          <w:tcPr>
            <w:tcW w:type="dxa" w:w="21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bl>
    <w:tbl>
      <w:tblPr>
        <w:tblW w:type="dxa" w:w="9794"/>
        <w:jc w:val="left"/>
        <w:tblLayout w:type="fixed"/>
        <w:tblLook w:firstColumn="1" w:firstRow="1" w:lastColumn="0" w:lastRow="0" w:noHBand="0" w:noVBand="1" w:val="04A0"/>
        <w:tblInd w:w="120" w:type="dxa"/>
        <w:tblBorders>
          <w:top w:val="single" w:sz="10" w:space="0" w:color="E8A72B"/>
          <w:left w:val="single" w:sz="10" w:space="0" w:color="E8A72B"/>
          <w:bottom w:val="single" w:sz="10" w:space="0" w:color="E8A72B"/>
          <w:right w:val="single" w:sz="10" w:space="0" w:color="E8A72B"/>
          <w:insideH w:val="single" w:sz="10" w:space="0" w:color="E8A72B"/>
          <w:insideV w:val="single" w:sz="10" w:space="0" w:color="E8A72B"/>
        </w:tblBorders>
      </w:tblPr>
      <w:tblGrid>
        <w:gridCol w:w="9794"/>
      </w:tblGrid>
      <w:tr>
        <w:tc>
          <w:tcPr>
            <w:tcW w:type="dxa" w:w="9794"/>
            <w:tcMar>
              <w:top w:w="80" w:type="dxa"/>
              <w:start w:w="120" w:type="dxa"/>
              <w:bottom w:w="80" w:type="dxa"/>
              <w:end w:w="120" w:type="dxa"/>
            </w:tcMar>
            <w:shd w:fill="FFF4D8"/>
          </w:tcPr>
          <w:p>
            <w:pPr>
              <w:spacing w:after="60"/>
            </w:pPr>
            <w:r/>
            <w:r>
              <w:rPr>
                <w:rFonts w:ascii="Aptos" w:hAnsi="Aptos"/>
                <w:b/>
                <w:i w:val="0"/>
                <w:color w:val="102F3B"/>
                <w:sz w:val="20"/>
              </w:rPr>
              <w:t>Maintenance caution</w:t>
            </w:r>
          </w:p>
          <w:p>
            <w:pPr>
              <w:spacing w:before="0" w:after="0" w:line="259" w:lineRule="auto"/>
            </w:pPr>
            <w:r>
              <w:rPr>
                <w:rFonts w:ascii="Aptos" w:hAnsi="Aptos"/>
                <w:b w:val="0"/>
                <w:i w:val="0"/>
                <w:color w:val="1D2428"/>
                <w:sz w:val="18"/>
              </w:rPr>
              <w:t>Intervals above are commonly used benchmarks, not universal legal frequencies. Confirm the current British Standard, fire strategy, manufacturer instructions, contract and risk assessment. Portable appliance testing is risk-based; an automatic annual PAT rule should not be assumed.</w:t>
            </w:r>
          </w:p>
        </w:tc>
      </w:tr>
    </w:tbl>
    <w:p>
      <w:pPr>
        <w:spacing w:after="0"/>
      </w:pPr>
    </w:p>
    <w:p>
      <w:pPr>
        <w:pStyle w:val="Heading1"/>
        <w:keepNext/>
      </w:pPr>
      <w:r>
        <w:t>7. Emergency plan and fire procedures</w:t>
      </w:r>
    </w:p>
    <w:p>
      <w:pPr>
        <w:pStyle w:val="Heading2"/>
        <w:keepNext/>
      </w:pPr>
      <w:r>
        <w:t>7.1 Emergency plan assurance</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620"/>
        <w:gridCol w:w="4860"/>
        <w:gridCol w:w="1050"/>
        <w:gridCol w:w="3264"/>
      </w:tblGrid>
      <w:tr>
        <w:trPr>
          <w:tblHeader w:val="true"/>
        </w:trPr>
        <w:tc>
          <w:tcPr>
            <w:tcW w:type="dxa" w:w="62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Ref</w:t>
            </w:r>
          </w:p>
        </w:tc>
        <w:tc>
          <w:tcPr>
            <w:tcW w:type="dxa" w:w="486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Assessment point</w:t>
            </w:r>
          </w:p>
        </w:tc>
        <w:tc>
          <w:tcPr>
            <w:tcW w:type="dxa" w:w="10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Y / N / N/A</w:t>
            </w:r>
          </w:p>
        </w:tc>
        <w:tc>
          <w:tcPr>
            <w:tcW w:type="dxa" w:w="326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Evidence, observations, deficiencies and action ref</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EP1</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The alarm-raising method and action on discovering fire are clear, including activation of the alarm and immediate call to 999.</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EP2</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The person/role responsible for calling the fire and rescue service is identified without creating delay or reliance on one individual.</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EP3</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Staff actions are clear for alarm investigation, evacuation, sweep/search, reception, assembly, roll call and liaison with firefighters.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EP4</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Procedures reflect the actual evacuation strategy, patient dependency, clinical priorities and safe movement to compartments or final exits.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EP5</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Medical gas isolation, electrical shutdown and clinical equipment actions are only allocated to trained persons where safe and authorised.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EP6</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Arrangements cover lone work, reduced staffing, evenings, weekends, temporary staff, contractors and loss of key personnel.</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EP7</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Plans address blocked routes, smoke spread, failure of alarm or lighting, fire-system impairment, severe weather and inaccessible assembly areas.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EP8</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No plan relies on staff re-entering the building, using unsuitable lifts or attempting firefighting beyond their training and safe capability.</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EP9</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Critical information is available to the fire service, including persons unaccounted for, hazards, oxygen/gas locations and isolation points.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EP10</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Post-incident arrangements include clinical continuity, relocation, notification, preservation of evidence, debrief and review of risk controls.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bl>
    <w:p>
      <w:pPr>
        <w:pStyle w:val="Heading2"/>
        <w:keepNext/>
      </w:pPr>
      <w:r>
        <w:t>7.2 Local emergency arrangements</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2600"/>
        <w:gridCol w:w="7194"/>
      </w:tblGrid>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Method of raising alarm</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999 call responsibility</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Evacuation lead / incident controller</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Fire warden / sweep arrangements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Patient movement and clinical support</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Assembly / receiving areas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Roll call / patient and visitor accounting</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Fire service reception and information</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Medical gas / utilities isolation</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7"/>
              </w:rPr>
              <w:t>Only if safe, trained and authorised</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Out-of-hours / lone-working procedure</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Emergency contacts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Business continuity / relocation</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bl>
    <w:p>
      <w:pPr>
        <w:pStyle w:val="Heading1"/>
        <w:keepNext/>
      </w:pPr>
      <w:r>
        <w:t>8. Staff information, instruction, training and exercises</w:t>
      </w:r>
    </w:p>
    <w:p>
      <w:pPr>
        <w:spacing w:before="0" w:after="100" w:line="269" w:lineRule="auto"/>
      </w:pPr>
      <w:r>
        <w:rPr>
          <w:rFonts w:ascii="Aptos" w:hAnsi="Aptos"/>
          <w:b w:val="0"/>
          <w:i w:val="0"/>
          <w:color w:val="1D2428"/>
          <w:sz w:val="19"/>
        </w:rPr>
        <w:t>Article 21 of the Fire Safety Order requires adequate safety training when staff are first employed and when they are exposed to new or increased risks. Training must be suitable, sufficient, repeated periodically where appropriate, adapted to changed risks and delivered during working hours. HTM 05-03 Part A expects a role-based training needs analysis (TNA), practical activity where needed, fire drills, records and evaluation.</w:t>
      </w:r>
    </w:p>
    <w:p>
      <w:pPr>
        <w:pStyle w:val="Heading2"/>
        <w:keepNext/>
      </w:pPr>
      <w:r>
        <w:t>8.1 Training assurance</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620"/>
        <w:gridCol w:w="4860"/>
        <w:gridCol w:w="1050"/>
        <w:gridCol w:w="3264"/>
      </w:tblGrid>
      <w:tr>
        <w:trPr>
          <w:tblHeader w:val="true"/>
        </w:trPr>
        <w:tc>
          <w:tcPr>
            <w:tcW w:type="dxa" w:w="62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Ref</w:t>
            </w:r>
          </w:p>
        </w:tc>
        <w:tc>
          <w:tcPr>
            <w:tcW w:type="dxa" w:w="486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Assessment point</w:t>
            </w:r>
          </w:p>
        </w:tc>
        <w:tc>
          <w:tcPr>
            <w:tcW w:type="dxa" w:w="10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Y / N / N/A</w:t>
            </w:r>
          </w:p>
        </w:tc>
        <w:tc>
          <w:tcPr>
            <w:tcW w:type="dxa" w:w="326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Evidence, observations, deficiencies and action ref</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T1</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All staff, including temporary, bank, agency, contractors and volunteers as relevant, receive fire-safety information before working unsupervised.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T2</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Initial organisational induction and local workplace-specific induction cover the actual alarm, routes, exits, strategy, hazards and responsibilities.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T3</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 documented TNA maps each staff group to the knowledge, practical skills and refresher interval required by its role and workplace.</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T4</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Training is refreshed when roles, work equipment, technology, processes, risks, premises or emergency arrangements change.</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T5</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Patient-facing staff are competent to assist the expected occupant dependency using the equipment and staffing available on every shift.</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T6</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Staff responsible for medical gases understand fire behaviour, cylinder safety, oxygen enrichment, alarms and authorised isolation/emergency actions.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T7</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Fire wardens, incident leads, evacuation teams and any staff expected to use extinguishers receive additional role-specific and practical training.</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T8</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Training covers prevention, alarm response, calling 999, containment by closing doors, escape, PEEPs, visitors, no re-entry and local reporting.</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T9</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Attendance, date, duration, content, trainer and competence/evaluation outcomes are recorded and available to managers.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T10</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The training programme is audited annually and its effectiveness is formally evaluated at intervals determined by risk, normally no less often than every two years for the programme evaluation described in HTM 05-03 Part A.</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bl>
    <w:p>
      <w:pPr>
        <w:pStyle w:val="Heading2"/>
        <w:keepNext/>
      </w:pPr>
      <w:r>
        <w:t>8.2 Training needs analysis</w:t>
      </w:r>
    </w:p>
    <w:p>
      <w:pPr>
        <w:spacing w:before="0" w:after="100" w:line="269" w:lineRule="auto"/>
      </w:pPr>
      <w:r>
        <w:rPr>
          <w:rFonts w:ascii="Aptos" w:hAnsi="Aptos"/>
          <w:b w:val="0"/>
          <w:i/>
          <w:color w:val="1D2428"/>
          <w:sz w:val="19"/>
        </w:rPr>
        <w:t>Enter the locally determined interval. The examples are starting points only and must be adjusted by risk assessment. HTM 05-03 Part A allows face-to-face general training for some self-evacuating groups to extend up to 36 months only where annual basic awareness and a successful unannounced drill occur in intervening years.</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1500"/>
        <w:gridCol w:w="1420"/>
        <w:gridCol w:w="1420"/>
        <w:gridCol w:w="1800"/>
        <w:gridCol w:w="1450"/>
        <w:gridCol w:w="2204"/>
      </w:tblGrid>
      <w:tr>
        <w:trPr>
          <w:tblHeader w:val="true"/>
        </w:trPr>
        <w:tc>
          <w:tcPr>
            <w:tcW w:type="dxa" w:w="150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Staff group</w:t>
            </w:r>
          </w:p>
        </w:tc>
        <w:tc>
          <w:tcPr>
            <w:tcW w:type="dxa" w:w="142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Initial induction</w:t>
            </w:r>
          </w:p>
        </w:tc>
        <w:tc>
          <w:tcPr>
            <w:tcW w:type="dxa" w:w="142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Local induction</w:t>
            </w:r>
          </w:p>
        </w:tc>
        <w:tc>
          <w:tcPr>
            <w:tcW w:type="dxa" w:w="180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Refresher starting point</w:t>
            </w:r>
          </w:p>
        </w:tc>
        <w:tc>
          <w:tcPr>
            <w:tcW w:type="dxa" w:w="14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Drill / exercise</w:t>
            </w:r>
          </w:p>
        </w:tc>
        <w:tc>
          <w:tcPr>
            <w:tcW w:type="dxa" w:w="220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Role-specific content</w:t>
            </w:r>
          </w:p>
        </w:tc>
      </w:tr>
      <w:tr>
        <w:tc>
          <w:tcPr>
            <w:tcW w:type="dxa" w:w="15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All staff</w:t>
            </w:r>
          </w:p>
        </w:tc>
        <w:tc>
          <w:tcPr>
            <w:tcW w:type="dxa" w:w="142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On starting work</w:t>
            </w:r>
          </w:p>
        </w:tc>
        <w:tc>
          <w:tcPr>
            <w:tcW w:type="dxa" w:w="142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Before unsupervised local work</w:t>
            </w:r>
          </w:p>
        </w:tc>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Usually annual awareness; interval set by TNA</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Participate at least annually</w:t>
            </w:r>
          </w:p>
        </w:tc>
        <w:tc>
          <w:tcPr>
            <w:tcW w:type="dxa" w:w="220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Local hazards, alarm, escape, 999, doors, assembly</w:t>
            </w:r>
          </w:p>
        </w:tc>
      </w:tr>
      <w:tr>
        <w:tc>
          <w:tcPr>
            <w:tcW w:type="dxa" w:w="15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Patient-facing clinical staff</w:t>
            </w:r>
          </w:p>
        </w:tc>
        <w:tc>
          <w:tcPr>
            <w:tcW w:type="dxa" w:w="142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On starting work</w:t>
            </w:r>
          </w:p>
        </w:tc>
        <w:tc>
          <w:tcPr>
            <w:tcW w:type="dxa" w:w="142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On starting in area</w:t>
            </w:r>
          </w:p>
        </w:tc>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Normally at least annual</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At least annual / risk-based</w:t>
            </w:r>
          </w:p>
        </w:tc>
        <w:tc>
          <w:tcPr>
            <w:tcW w:type="dxa" w:w="220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Assisting patients; dependency; equipment; clinical hazards</w:t>
            </w:r>
          </w:p>
        </w:tc>
      </w:tr>
      <w:tr>
        <w:tc>
          <w:tcPr>
            <w:tcW w:type="dxa" w:w="15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Fire wardens / sweep staff</w:t>
            </w:r>
          </w:p>
        </w:tc>
        <w:tc>
          <w:tcPr>
            <w:tcW w:type="dxa" w:w="142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Before role</w:t>
            </w:r>
          </w:p>
        </w:tc>
        <w:tc>
          <w:tcPr>
            <w:tcW w:type="dxa" w:w="142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Area-specific</w:t>
            </w:r>
          </w:p>
        </w:tc>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Normally annual and after change</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Practical role in drills</w:t>
            </w:r>
          </w:p>
        </w:tc>
        <w:tc>
          <w:tcPr>
            <w:tcW w:type="dxa" w:w="220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Sweep, reporting, route alternatives, no personal risk</w:t>
            </w:r>
          </w:p>
        </w:tc>
      </w:tr>
      <w:tr>
        <w:tc>
          <w:tcPr>
            <w:tcW w:type="dxa" w:w="15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Evacuation / response team</w:t>
            </w:r>
          </w:p>
        </w:tc>
        <w:tc>
          <w:tcPr>
            <w:tcW w:type="dxa" w:w="142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Before role</w:t>
            </w:r>
          </w:p>
        </w:tc>
        <w:tc>
          <w:tcPr>
            <w:tcW w:type="dxa" w:w="142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Area-specific</w:t>
            </w:r>
          </w:p>
        </w:tc>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Normally annual or more often by risk</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Practical exercises</w:t>
            </w:r>
          </w:p>
        </w:tc>
        <w:tc>
          <w:tcPr>
            <w:tcW w:type="dxa" w:w="220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Assisted/progressive evacuation and incident roles</w:t>
            </w:r>
          </w:p>
        </w:tc>
      </w:tr>
      <w:tr>
        <w:tc>
          <w:tcPr>
            <w:tcW w:type="dxa" w:w="15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Medical gas users / porters</w:t>
            </w:r>
          </w:p>
        </w:tc>
        <w:tc>
          <w:tcPr>
            <w:tcW w:type="dxa" w:w="142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Before task</w:t>
            </w:r>
          </w:p>
        </w:tc>
        <w:tc>
          <w:tcPr>
            <w:tcW w:type="dxa" w:w="142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System and area-specific</w:t>
            </w:r>
          </w:p>
        </w:tc>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Normally annual or by TNA</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Include relevant scenarios</w:t>
            </w:r>
          </w:p>
        </w:tc>
        <w:tc>
          <w:tcPr>
            <w:tcW w:type="dxa" w:w="220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Cylinder handling, oxygen risks, alarms, authorised isolation</w:t>
            </w:r>
          </w:p>
        </w:tc>
      </w:tr>
      <w:tr>
        <w:tc>
          <w:tcPr>
            <w:tcW w:type="dxa" w:w="15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Operating theatre / high-risk clinical staff</w:t>
            </w:r>
          </w:p>
        </w:tc>
        <w:tc>
          <w:tcPr>
            <w:tcW w:type="dxa" w:w="142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Before task</w:t>
            </w:r>
          </w:p>
        </w:tc>
        <w:tc>
          <w:tcPr>
            <w:tcW w:type="dxa" w:w="142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Procedure-specific</w:t>
            </w:r>
          </w:p>
        </w:tc>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At least annual or more often by risk</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Practical simulation</w:t>
            </w:r>
          </w:p>
        </w:tc>
        <w:tc>
          <w:tcPr>
            <w:tcW w:type="dxa" w:w="220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Surgical fire prevention, extinguishing and patient evacuation</w:t>
            </w:r>
          </w:p>
        </w:tc>
      </w:tr>
      <w:tr>
        <w:tc>
          <w:tcPr>
            <w:tcW w:type="dxa" w:w="15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Facilities / maintenance / contractors</w:t>
            </w:r>
          </w:p>
        </w:tc>
        <w:tc>
          <w:tcPr>
            <w:tcW w:type="dxa" w:w="142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Before access/task</w:t>
            </w:r>
          </w:p>
        </w:tc>
        <w:tc>
          <w:tcPr>
            <w:tcW w:type="dxa" w:w="142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Permit and area-specific</w:t>
            </w:r>
          </w:p>
        </w:tc>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At change / periodic</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Relevant exercises</w:t>
            </w:r>
          </w:p>
        </w:tc>
        <w:tc>
          <w:tcPr>
            <w:tcW w:type="dxa" w:w="220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Impairments, fire stopping, hot work, alarm interfaces</w:t>
            </w:r>
          </w:p>
        </w:tc>
      </w:tr>
      <w:tr>
        <w:tc>
          <w:tcPr>
            <w:tcW w:type="dxa" w:w="15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Managers / incident command</w:t>
            </w:r>
          </w:p>
        </w:tc>
        <w:tc>
          <w:tcPr>
            <w:tcW w:type="dxa" w:w="142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Before role</w:t>
            </w:r>
          </w:p>
        </w:tc>
        <w:tc>
          <w:tcPr>
            <w:tcW w:type="dxa" w:w="142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Site plan and escalation</w:t>
            </w:r>
          </w:p>
        </w:tc>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Periodic and after change</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Tabletop and live exercises</w:t>
            </w:r>
          </w:p>
        </w:tc>
        <w:tc>
          <w:tcPr>
            <w:tcW w:type="dxa" w:w="220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Decision-making, escalation, continuity and fire-service liaison</w:t>
            </w:r>
          </w:p>
        </w:tc>
      </w:tr>
    </w:tbl>
    <w:p>
      <w:pPr>
        <w:pStyle w:val="Heading2"/>
        <w:keepNext/>
      </w:pPr>
      <w:r>
        <w:t>8.3 Fire drills and exercises</w:t>
      </w:r>
    </w:p>
    <w:p>
      <w:pPr>
        <w:pStyle w:val="Heading2"/>
        <w:keepNext/>
      </w:pPr>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620"/>
        <w:gridCol w:w="4860"/>
        <w:gridCol w:w="1050"/>
        <w:gridCol w:w="3264"/>
      </w:tblGrid>
      <w:tr>
        <w:trPr>
          <w:tblHeader w:val="true"/>
        </w:trPr>
        <w:tc>
          <w:tcPr>
            <w:tcW w:type="dxa" w:w="62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Ref</w:t>
            </w:r>
          </w:p>
        </w:tc>
        <w:tc>
          <w:tcPr>
            <w:tcW w:type="dxa" w:w="486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Assessment point</w:t>
            </w:r>
          </w:p>
        </w:tc>
        <w:tc>
          <w:tcPr>
            <w:tcW w:type="dxa" w:w="10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Y / N / N/A</w:t>
            </w:r>
          </w:p>
        </w:tc>
        <w:tc>
          <w:tcPr>
            <w:tcW w:type="dxa" w:w="326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Evidence, observations, deficiencies and action ref</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D1</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At least one drill is conducted each year and more often where indicated by turnover, shift patterns, patient dependency, risk or previous performance.</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D2</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Drills test relevant shifts and teams; where patient safety prevents live movement, safe simulation, desktop exercises and walkthroughs are used.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D3</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The scenario tests realistic challenges, including an unavailable route where safe, without creating danger, panic or unacceptable clinical risk.</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D4</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Observers record alarm response, staff actions, communications, patient assistance, evacuation/transfer time, roll call and interface with other occupants.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D5</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Each drill is promptly debriefed, lessons and actions are recorded, responsible owners and deadlines are assigned, and the plan/TNA is updated.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bl>
    <w:p>
      <w:pPr>
        <w:pStyle w:val="Heading2"/>
        <w:keepNext/>
      </w:pPr>
      <w:r>
        <w:t>8.4 Latest drill / exercise record</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1860"/>
        <w:gridCol w:w="3037"/>
        <w:gridCol w:w="1860"/>
        <w:gridCol w:w="3037"/>
      </w:tblGrid>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Date and time</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Announced / unannounced</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r>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Scenario / blocked route</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Areas / shifts involved</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r>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Staff / patients / visitors involved</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Observers</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r>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Alarm to response time</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Completion time</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r>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Outcome</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6"/>
              </w:rPr>
              <w:t>Successful / partial / unsuccessful</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Action references</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r>
    </w:tbl>
    <w:p>
      <w:pPr>
        <w:pStyle w:val="Heading1"/>
        <w:keepNext/>
      </w:pPr>
      <w:r>
        <w:t>9. Risk evaluation and significant findings</w:t>
      </w:r>
    </w:p>
    <w:p>
      <w:pPr>
        <w:spacing w:before="0" w:after="100" w:line="269" w:lineRule="auto"/>
      </w:pPr>
      <w:r>
        <w:rPr>
          <w:rFonts w:ascii="Aptos" w:hAnsi="Aptos"/>
          <w:b w:val="0"/>
          <w:i w:val="0"/>
          <w:color w:val="1D2428"/>
          <w:sz w:val="19"/>
        </w:rPr>
        <w:t>Use professional judgement and record the reasoning. Score the likelihood of fire (L) and the life-safety consequence if fire occurs (S). Multiply L x S. This matrix follows the structure in HTM 05-03 Part K. It does not replace specialist fire engineering or a Part K primary/secondary assessment where required.</w:t>
      </w:r>
    </w:p>
    <w:p>
      <w:pPr>
        <w:pStyle w:val="Heading2"/>
        <w:keepNext/>
      </w:pPr>
      <w:r>
        <w:t>9.1 Likelihood and consequence descriptors</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650"/>
        <w:gridCol w:w="4247"/>
        <w:gridCol w:w="650"/>
        <w:gridCol w:w="4247"/>
      </w:tblGrid>
      <w:tr>
        <w:trPr>
          <w:tblHeader w:val="true"/>
        </w:trPr>
        <w:tc>
          <w:tcPr>
            <w:tcW w:type="dxa" w:w="6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Value</w:t>
            </w:r>
          </w:p>
        </w:tc>
        <w:tc>
          <w:tcPr>
            <w:tcW w:type="dxa" w:w="4247"/>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Likelihood</w:t>
            </w:r>
          </w:p>
        </w:tc>
        <w:tc>
          <w:tcPr>
            <w:tcW w:type="dxa" w:w="6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Value</w:t>
            </w:r>
          </w:p>
        </w:tc>
        <w:tc>
          <w:tcPr>
            <w:tcW w:type="dxa" w:w="4247"/>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Life-safety consequence</w:t>
            </w:r>
          </w:p>
        </w:tc>
      </w:tr>
      <w:tr>
        <w:tc>
          <w:tcPr>
            <w:tcW w:type="dxa" w:w="6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1</w:t>
            </w:r>
          </w:p>
        </w:tc>
        <w:tc>
          <w:tcPr>
            <w:tcW w:type="dxa" w:w="4247"/>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Rare - few ignition sources, low fire load, highly controlled</w:t>
            </w:r>
          </w:p>
        </w:tc>
        <w:tc>
          <w:tcPr>
            <w:tcW w:type="dxa" w:w="6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1</w:t>
            </w:r>
          </w:p>
        </w:tc>
        <w:tc>
          <w:tcPr>
            <w:tcW w:type="dxa" w:w="4247"/>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Negligible - negligible harm</w:t>
            </w:r>
          </w:p>
        </w:tc>
      </w:tr>
      <w:tr>
        <w:tc>
          <w:tcPr>
            <w:tcW w:type="dxa" w:w="6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2</w:t>
            </w:r>
          </w:p>
        </w:tc>
        <w:tc>
          <w:tcPr>
            <w:tcW w:type="dxa" w:w="4247"/>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Unlikely - very well controlled environment</w:t>
            </w:r>
          </w:p>
        </w:tc>
        <w:tc>
          <w:tcPr>
            <w:tcW w:type="dxa" w:w="6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2</w:t>
            </w:r>
          </w:p>
        </w:tc>
        <w:tc>
          <w:tcPr>
            <w:tcW w:type="dxa" w:w="4247"/>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Low - minor injury / first aid</w:t>
            </w:r>
          </w:p>
        </w:tc>
      </w:tr>
      <w:tr>
        <w:tc>
          <w:tcPr>
            <w:tcW w:type="dxa" w:w="6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3</w:t>
            </w:r>
          </w:p>
        </w:tc>
        <w:tc>
          <w:tcPr>
            <w:tcW w:type="dxa" w:w="4247"/>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Possible - typical healthcare fire load with controlled ignition</w:t>
            </w:r>
          </w:p>
        </w:tc>
        <w:tc>
          <w:tcPr>
            <w:tcW w:type="dxa" w:w="6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3</w:t>
            </w:r>
          </w:p>
        </w:tc>
        <w:tc>
          <w:tcPr>
            <w:tcW w:type="dxa" w:w="4247"/>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Moderate - injury needing medical attention / partial evacuation</w:t>
            </w:r>
          </w:p>
        </w:tc>
      </w:tr>
      <w:tr>
        <w:tc>
          <w:tcPr>
            <w:tcW w:type="dxa" w:w="6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4</w:t>
            </w:r>
          </w:p>
        </w:tc>
        <w:tc>
          <w:tcPr>
            <w:tcW w:type="dxa" w:w="4247"/>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Likely - significant weaknesses in ignition or fire-load control</w:t>
            </w:r>
          </w:p>
        </w:tc>
        <w:tc>
          <w:tcPr>
            <w:tcW w:type="dxa" w:w="6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4</w:t>
            </w:r>
          </w:p>
        </w:tc>
        <w:tc>
          <w:tcPr>
            <w:tcW w:type="dxa" w:w="4247"/>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High - hospitalisation / complete evacuation</w:t>
            </w:r>
          </w:p>
        </w:tc>
      </w:tr>
      <w:tr>
        <w:tc>
          <w:tcPr>
            <w:tcW w:type="dxa" w:w="6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5</w:t>
            </w:r>
          </w:p>
        </w:tc>
        <w:tc>
          <w:tcPr>
            <w:tcW w:type="dxa" w:w="4247"/>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Almost certain - immediate or uncontrolled ignition risk with fuel</w:t>
            </w:r>
          </w:p>
        </w:tc>
        <w:tc>
          <w:tcPr>
            <w:tcW w:type="dxa" w:w="6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5</w:t>
            </w:r>
          </w:p>
        </w:tc>
        <w:tc>
          <w:tcPr>
            <w:tcW w:type="dxa" w:w="4247"/>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Catastrophic - major loss of life</w:t>
            </w:r>
          </w:p>
        </w:tc>
      </w:tr>
    </w:tbl>
    <w:p>
      <w:pPr>
        <w:pStyle w:val="Heading2"/>
        <w:keepNext/>
      </w:pPr>
      <w:r>
        <w:t>9.2 Risk matrix (L x S)</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1700"/>
        <w:gridCol w:w="1550"/>
        <w:gridCol w:w="1600"/>
        <w:gridCol w:w="1650"/>
        <w:gridCol w:w="1600"/>
        <w:gridCol w:w="1694"/>
      </w:tblGrid>
      <w:tr>
        <w:trPr>
          <w:tblHeader w:val="true"/>
        </w:trPr>
        <w:tc>
          <w:tcPr>
            <w:tcW w:type="dxa" w:w="1700"/>
            <w:vAlign w:val="center"/>
            <w:tcMar>
              <w:top w:w="80" w:type="dxa"/>
              <w:start w:w="120" w:type="dxa"/>
              <w:bottom w:w="80" w:type="dxa"/>
              <w:end w:w="120" w:type="dxa"/>
            </w:tcMar>
            <w:shd w:fill="102F3B"/>
          </w:tcPr>
          <w:p>
            <w:pPr>
              <w:spacing w:before="0" w:after="0" w:line="240" w:lineRule="auto"/>
              <w:jc w:val="center"/>
            </w:pPr>
            <w:r>
              <w:rPr>
                <w:rFonts w:ascii="Aptos" w:hAnsi="Aptos"/>
                <w:b/>
                <w:i w:val="0"/>
                <w:color w:val="FFFFFF"/>
                <w:sz w:val="17"/>
              </w:rPr>
            </w:r>
            <w:r>
              <w:rPr>
                <w:rFonts w:ascii="Aptos" w:hAnsi="Aptos"/>
                <w:b/>
                <w:i w:val="0"/>
                <w:color w:val="FFFFFF"/>
                <w:sz w:val="17"/>
              </w:rPr>
              <w:t>S \ L</w:t>
            </w:r>
          </w:p>
        </w:tc>
        <w:tc>
          <w:tcPr>
            <w:tcW w:type="dxa" w:w="1550"/>
            <w:vAlign w:val="center"/>
            <w:tcMar>
              <w:top w:w="80" w:type="dxa"/>
              <w:start w:w="120" w:type="dxa"/>
              <w:bottom w:w="80" w:type="dxa"/>
              <w:end w:w="120" w:type="dxa"/>
            </w:tcMar>
            <w:shd w:fill="102F3B"/>
          </w:tcPr>
          <w:p>
            <w:pPr>
              <w:spacing w:before="0" w:after="0" w:line="240" w:lineRule="auto"/>
              <w:jc w:val="center"/>
            </w:pPr>
            <w:r>
              <w:rPr>
                <w:rFonts w:ascii="Aptos" w:hAnsi="Aptos"/>
                <w:b/>
                <w:i w:val="0"/>
                <w:color w:val="FFFFFF"/>
                <w:sz w:val="17"/>
              </w:rPr>
            </w:r>
            <w:r>
              <w:rPr>
                <w:rFonts w:ascii="Aptos" w:hAnsi="Aptos"/>
                <w:b/>
                <w:i w:val="0"/>
                <w:color w:val="FFFFFF"/>
                <w:sz w:val="17"/>
              </w:rPr>
              <w:t>Rare 1</w:t>
            </w:r>
          </w:p>
        </w:tc>
        <w:tc>
          <w:tcPr>
            <w:tcW w:type="dxa" w:w="1600"/>
            <w:vAlign w:val="center"/>
            <w:tcMar>
              <w:top w:w="80" w:type="dxa"/>
              <w:start w:w="120" w:type="dxa"/>
              <w:bottom w:w="80" w:type="dxa"/>
              <w:end w:w="120" w:type="dxa"/>
            </w:tcMar>
            <w:shd w:fill="102F3B"/>
          </w:tcPr>
          <w:p>
            <w:pPr>
              <w:spacing w:before="0" w:after="0" w:line="240" w:lineRule="auto"/>
              <w:jc w:val="center"/>
            </w:pPr>
            <w:r>
              <w:rPr>
                <w:rFonts w:ascii="Aptos" w:hAnsi="Aptos"/>
                <w:b/>
                <w:i w:val="0"/>
                <w:color w:val="FFFFFF"/>
                <w:sz w:val="17"/>
              </w:rPr>
            </w:r>
            <w:r>
              <w:rPr>
                <w:rFonts w:ascii="Aptos" w:hAnsi="Aptos"/>
                <w:b/>
                <w:i w:val="0"/>
                <w:color w:val="FFFFFF"/>
                <w:sz w:val="17"/>
              </w:rPr>
              <w:t>Unlikely 2</w:t>
            </w:r>
          </w:p>
        </w:tc>
        <w:tc>
          <w:tcPr>
            <w:tcW w:type="dxa" w:w="1650"/>
            <w:vAlign w:val="center"/>
            <w:tcMar>
              <w:top w:w="80" w:type="dxa"/>
              <w:start w:w="120" w:type="dxa"/>
              <w:bottom w:w="80" w:type="dxa"/>
              <w:end w:w="120" w:type="dxa"/>
            </w:tcMar>
            <w:shd w:fill="102F3B"/>
          </w:tcPr>
          <w:p>
            <w:pPr>
              <w:spacing w:before="0" w:after="0" w:line="240" w:lineRule="auto"/>
              <w:jc w:val="center"/>
            </w:pPr>
            <w:r>
              <w:rPr>
                <w:rFonts w:ascii="Aptos" w:hAnsi="Aptos"/>
                <w:b/>
                <w:i w:val="0"/>
                <w:color w:val="FFFFFF"/>
                <w:sz w:val="17"/>
              </w:rPr>
            </w:r>
            <w:r>
              <w:rPr>
                <w:rFonts w:ascii="Aptos" w:hAnsi="Aptos"/>
                <w:b/>
                <w:i w:val="0"/>
                <w:color w:val="FFFFFF"/>
                <w:sz w:val="17"/>
              </w:rPr>
              <w:t>Possible 3</w:t>
            </w:r>
          </w:p>
        </w:tc>
        <w:tc>
          <w:tcPr>
            <w:tcW w:type="dxa" w:w="1600"/>
            <w:vAlign w:val="center"/>
            <w:tcMar>
              <w:top w:w="80" w:type="dxa"/>
              <w:start w:w="120" w:type="dxa"/>
              <w:bottom w:w="80" w:type="dxa"/>
              <w:end w:w="120" w:type="dxa"/>
            </w:tcMar>
            <w:shd w:fill="102F3B"/>
          </w:tcPr>
          <w:p>
            <w:pPr>
              <w:spacing w:before="0" w:after="0" w:line="240" w:lineRule="auto"/>
              <w:jc w:val="center"/>
            </w:pPr>
            <w:r>
              <w:rPr>
                <w:rFonts w:ascii="Aptos" w:hAnsi="Aptos"/>
                <w:b/>
                <w:i w:val="0"/>
                <w:color w:val="FFFFFF"/>
                <w:sz w:val="17"/>
              </w:rPr>
            </w:r>
            <w:r>
              <w:rPr>
                <w:rFonts w:ascii="Aptos" w:hAnsi="Aptos"/>
                <w:b/>
                <w:i w:val="0"/>
                <w:color w:val="FFFFFF"/>
                <w:sz w:val="17"/>
              </w:rPr>
              <w:t>Likely 4</w:t>
            </w:r>
          </w:p>
        </w:tc>
        <w:tc>
          <w:tcPr>
            <w:tcW w:type="dxa" w:w="1694"/>
            <w:vAlign w:val="center"/>
            <w:tcMar>
              <w:top w:w="80" w:type="dxa"/>
              <w:start w:w="120" w:type="dxa"/>
              <w:bottom w:w="80" w:type="dxa"/>
              <w:end w:w="120" w:type="dxa"/>
            </w:tcMar>
            <w:shd w:fill="102F3B"/>
          </w:tcPr>
          <w:p>
            <w:pPr>
              <w:spacing w:before="0" w:after="0" w:line="240" w:lineRule="auto"/>
              <w:jc w:val="center"/>
            </w:pPr>
            <w:r>
              <w:rPr>
                <w:rFonts w:ascii="Aptos" w:hAnsi="Aptos"/>
                <w:b/>
                <w:i w:val="0"/>
                <w:color w:val="FFFFFF"/>
                <w:sz w:val="17"/>
              </w:rPr>
            </w:r>
            <w:r>
              <w:rPr>
                <w:rFonts w:ascii="Aptos" w:hAnsi="Aptos"/>
                <w:b/>
                <w:i w:val="0"/>
                <w:color w:val="FFFFFF"/>
                <w:sz w:val="17"/>
              </w:rPr>
              <w:t>Almost certain 5</w:t>
            </w:r>
          </w:p>
        </w:tc>
      </w:tr>
      <w:tr>
        <w:tc>
          <w:tcPr>
            <w:tcW w:type="dxa" w:w="1700"/>
            <w:vAlign w:val="center"/>
            <w:shd w:fill="EAF2F5"/>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Catastrophic 5</w:t>
            </w:r>
          </w:p>
        </w:tc>
        <w:tc>
          <w:tcPr>
            <w:tcW w:type="dxa" w:w="1550"/>
            <w:vAlign w:val="center"/>
            <w:shd w:fill="FFF4D8"/>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5</w:t>
            </w:r>
          </w:p>
        </w:tc>
        <w:tc>
          <w:tcPr>
            <w:tcW w:type="dxa" w:w="1600"/>
            <w:vAlign w:val="center"/>
            <w:shd w:fill="F9D7B8"/>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10</w:t>
            </w:r>
          </w:p>
        </w:tc>
        <w:tc>
          <w:tcPr>
            <w:tcW w:type="dxa" w:w="1650"/>
            <w:vAlign w:val="center"/>
            <w:shd w:fill="F9D7B8"/>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15</w:t>
            </w:r>
          </w:p>
        </w:tc>
        <w:tc>
          <w:tcPr>
            <w:tcW w:type="dxa" w:w="1600"/>
            <w:vAlign w:val="center"/>
            <w:shd w:fill="F2B6B6"/>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20</w:t>
            </w:r>
          </w:p>
        </w:tc>
        <w:tc>
          <w:tcPr>
            <w:tcW w:type="dxa" w:w="1694"/>
            <w:vAlign w:val="center"/>
            <w:shd w:fill="F2B6B6"/>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25</w:t>
            </w:r>
          </w:p>
        </w:tc>
      </w:tr>
      <w:tr>
        <w:tc>
          <w:tcPr>
            <w:tcW w:type="dxa" w:w="1700"/>
            <w:vAlign w:val="center"/>
            <w:shd w:fill="EAF2F5"/>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High 4</w:t>
            </w:r>
          </w:p>
        </w:tc>
        <w:tc>
          <w:tcPr>
            <w:tcW w:type="dxa" w:w="1550"/>
            <w:vAlign w:val="center"/>
            <w:shd w:fill="FFF4D8"/>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4</w:t>
            </w:r>
          </w:p>
        </w:tc>
        <w:tc>
          <w:tcPr>
            <w:tcW w:type="dxa" w:w="1600"/>
            <w:vAlign w:val="center"/>
            <w:shd w:fill="FFF4D8"/>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8</w:t>
            </w:r>
          </w:p>
        </w:tc>
        <w:tc>
          <w:tcPr>
            <w:tcW w:type="dxa" w:w="1650"/>
            <w:vAlign w:val="center"/>
            <w:shd w:fill="F9D7B8"/>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12</w:t>
            </w:r>
          </w:p>
        </w:tc>
        <w:tc>
          <w:tcPr>
            <w:tcW w:type="dxa" w:w="1600"/>
            <w:vAlign w:val="center"/>
            <w:shd w:fill="F9D7B8"/>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16</w:t>
            </w:r>
          </w:p>
        </w:tc>
        <w:tc>
          <w:tcPr>
            <w:tcW w:type="dxa" w:w="1694"/>
            <w:vAlign w:val="center"/>
            <w:shd w:fill="F2B6B6"/>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20</w:t>
            </w:r>
          </w:p>
        </w:tc>
      </w:tr>
      <w:tr>
        <w:tc>
          <w:tcPr>
            <w:tcW w:type="dxa" w:w="1700"/>
            <w:vAlign w:val="center"/>
            <w:shd w:fill="EAF2F5"/>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Moderate 3</w:t>
            </w:r>
          </w:p>
        </w:tc>
        <w:tc>
          <w:tcPr>
            <w:tcW w:type="dxa" w:w="1550"/>
            <w:vAlign w:val="center"/>
            <w:shd w:fill="E8F3EC"/>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3</w:t>
            </w:r>
          </w:p>
        </w:tc>
        <w:tc>
          <w:tcPr>
            <w:tcW w:type="dxa" w:w="1600"/>
            <w:vAlign w:val="center"/>
            <w:shd w:fill="FFF4D8"/>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6</w:t>
            </w:r>
          </w:p>
        </w:tc>
        <w:tc>
          <w:tcPr>
            <w:tcW w:type="dxa" w:w="1650"/>
            <w:vAlign w:val="center"/>
            <w:shd w:fill="FFF4D8"/>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9</w:t>
            </w:r>
          </w:p>
        </w:tc>
        <w:tc>
          <w:tcPr>
            <w:tcW w:type="dxa" w:w="1600"/>
            <w:vAlign w:val="center"/>
            <w:shd w:fill="F9D7B8"/>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12</w:t>
            </w:r>
          </w:p>
        </w:tc>
        <w:tc>
          <w:tcPr>
            <w:tcW w:type="dxa" w:w="1694"/>
            <w:vAlign w:val="center"/>
            <w:shd w:fill="F9D7B8"/>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15</w:t>
            </w:r>
          </w:p>
        </w:tc>
      </w:tr>
      <w:tr>
        <w:tc>
          <w:tcPr>
            <w:tcW w:type="dxa" w:w="1700"/>
            <w:vAlign w:val="center"/>
            <w:shd w:fill="EAF2F5"/>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Low 2</w:t>
            </w:r>
          </w:p>
        </w:tc>
        <w:tc>
          <w:tcPr>
            <w:tcW w:type="dxa" w:w="1550"/>
            <w:vAlign w:val="center"/>
            <w:shd w:fill="E8F3EC"/>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2</w:t>
            </w:r>
          </w:p>
        </w:tc>
        <w:tc>
          <w:tcPr>
            <w:tcW w:type="dxa" w:w="1600"/>
            <w:vAlign w:val="center"/>
            <w:shd w:fill="FFF4D8"/>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4</w:t>
            </w:r>
          </w:p>
        </w:tc>
        <w:tc>
          <w:tcPr>
            <w:tcW w:type="dxa" w:w="1650"/>
            <w:vAlign w:val="center"/>
            <w:shd w:fill="FFF4D8"/>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6</w:t>
            </w:r>
          </w:p>
        </w:tc>
        <w:tc>
          <w:tcPr>
            <w:tcW w:type="dxa" w:w="1600"/>
            <w:vAlign w:val="center"/>
            <w:shd w:fill="FFF4D8"/>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8</w:t>
            </w:r>
          </w:p>
        </w:tc>
        <w:tc>
          <w:tcPr>
            <w:tcW w:type="dxa" w:w="1694"/>
            <w:vAlign w:val="center"/>
            <w:shd w:fill="F9D7B8"/>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10</w:t>
            </w:r>
          </w:p>
        </w:tc>
      </w:tr>
      <w:tr>
        <w:tc>
          <w:tcPr>
            <w:tcW w:type="dxa" w:w="1700"/>
            <w:vAlign w:val="center"/>
            <w:shd w:fill="EAF2F5"/>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Negligible 1</w:t>
            </w:r>
          </w:p>
        </w:tc>
        <w:tc>
          <w:tcPr>
            <w:tcW w:type="dxa" w:w="1550"/>
            <w:vAlign w:val="center"/>
            <w:shd w:fill="E8F3EC"/>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1</w:t>
            </w:r>
          </w:p>
        </w:tc>
        <w:tc>
          <w:tcPr>
            <w:tcW w:type="dxa" w:w="1600"/>
            <w:vAlign w:val="center"/>
            <w:shd w:fill="E8F3EC"/>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2</w:t>
            </w:r>
          </w:p>
        </w:tc>
        <w:tc>
          <w:tcPr>
            <w:tcW w:type="dxa" w:w="1650"/>
            <w:vAlign w:val="center"/>
            <w:shd w:fill="E8F3EC"/>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3</w:t>
            </w:r>
          </w:p>
        </w:tc>
        <w:tc>
          <w:tcPr>
            <w:tcW w:type="dxa" w:w="1600"/>
            <w:vAlign w:val="center"/>
            <w:shd w:fill="FFF4D8"/>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4</w:t>
            </w:r>
          </w:p>
        </w:tc>
        <w:tc>
          <w:tcPr>
            <w:tcW w:type="dxa" w:w="1694"/>
            <w:vAlign w:val="center"/>
            <w:shd w:fill="FFF4D8"/>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5</w:t>
            </w:r>
          </w:p>
        </w:tc>
      </w:tr>
    </w:tbl>
    <w:p>
      <w:pPr>
        <w:pStyle w:val="Heading2"/>
        <w:keepNext/>
      </w:pPr>
      <w:r>
        <w:t>9.3 Risk bands and action</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900"/>
        <w:gridCol w:w="1600"/>
        <w:gridCol w:w="7294"/>
      </w:tblGrid>
      <w:tr>
        <w:trPr>
          <w:tblHeader w:val="true"/>
        </w:trPr>
        <w:tc>
          <w:tcPr>
            <w:tcW w:type="dxa" w:w="90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Score</w:t>
            </w:r>
          </w:p>
        </w:tc>
        <w:tc>
          <w:tcPr>
            <w:tcW w:type="dxa" w:w="160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Band</w:t>
            </w:r>
          </w:p>
        </w:tc>
        <w:tc>
          <w:tcPr>
            <w:tcW w:type="dxa" w:w="729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Required response</w:t>
            </w:r>
          </w:p>
        </w:tc>
      </w:tr>
      <w:tr>
        <w:tc>
          <w:tcPr>
            <w:tcW w:type="dxa" w:w="9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1</w:t>
            </w:r>
          </w:p>
        </w:tc>
        <w:tc>
          <w:tcPr>
            <w:tcW w:type="dxa" w:w="16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Trivial</w:t>
            </w:r>
          </w:p>
        </w:tc>
        <w:tc>
          <w:tcPr>
            <w:tcW w:type="dxa" w:w="72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No additional action required; maintain controls.</w:t>
            </w:r>
          </w:p>
        </w:tc>
      </w:tr>
      <w:tr>
        <w:tc>
          <w:tcPr>
            <w:tcW w:type="dxa" w:w="9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2-3</w:t>
            </w:r>
          </w:p>
        </w:tc>
        <w:tc>
          <w:tcPr>
            <w:tcW w:type="dxa" w:w="16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Tolerable</w:t>
            </w:r>
          </w:p>
        </w:tc>
        <w:tc>
          <w:tcPr>
            <w:tcW w:type="dxa" w:w="72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No major additional controls normally required; consider minor improvements and review at the next assessment.</w:t>
            </w:r>
          </w:p>
        </w:tc>
      </w:tr>
      <w:tr>
        <w:tc>
          <w:tcPr>
            <w:tcW w:type="dxa" w:w="9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4-9</w:t>
            </w:r>
          </w:p>
        </w:tc>
        <w:tc>
          <w:tcPr>
            <w:tcW w:type="dxa" w:w="16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Moderate</w:t>
            </w:r>
          </w:p>
        </w:tc>
        <w:tc>
          <w:tcPr>
            <w:tcW w:type="dxa" w:w="72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Reduce risk within a defined period through programmed management or maintenance.</w:t>
            </w:r>
          </w:p>
        </w:tc>
      </w:tr>
      <w:tr>
        <w:tc>
          <w:tcPr>
            <w:tcW w:type="dxa" w:w="9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10-16</w:t>
            </w:r>
          </w:p>
        </w:tc>
        <w:tc>
          <w:tcPr>
            <w:tcW w:type="dxa" w:w="16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Substantial</w:t>
            </w:r>
          </w:p>
        </w:tc>
        <w:tc>
          <w:tcPr>
            <w:tcW w:type="dxa" w:w="72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Implement interim controls immediately and full controls as soon as practicable; consider whether affected activity/area can safely continue.</w:t>
            </w:r>
          </w:p>
        </w:tc>
      </w:tr>
      <w:tr>
        <w:tc>
          <w:tcPr>
            <w:tcW w:type="dxa" w:w="9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20-25</w:t>
            </w:r>
          </w:p>
        </w:tc>
        <w:tc>
          <w:tcPr>
            <w:tcW w:type="dxa" w:w="16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High</w:t>
            </w:r>
          </w:p>
        </w:tc>
        <w:tc>
          <w:tcPr>
            <w:tcW w:type="dxa" w:w="72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Cease the activity or use of the affected area until additional controls reduce the risk.</w:t>
            </w:r>
          </w:p>
        </w:tc>
      </w:tr>
    </w:tbl>
    <w:p>
      <w:pPr>
        <w:pStyle w:val="Heading2"/>
        <w:keepNext/>
      </w:pPr>
      <w:r>
        <w:t>9.4 Overall assessment</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1860"/>
        <w:gridCol w:w="3037"/>
        <w:gridCol w:w="1860"/>
        <w:gridCol w:w="3037"/>
      </w:tblGrid>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Initial likelihood (L)</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6"/>
              </w:rPr>
              <w:t>1 / 2 / 3 / 4 / 5</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Initial consequence (S)</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6"/>
              </w:rPr>
              <w:t>1 / 2 / 3 / 4 / 5</w:t>
            </w:r>
          </w:p>
        </w:tc>
      </w:tr>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Initial score and band</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Interim controls required</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6"/>
              </w:rPr>
              <w:t>Y / N - see action plan</w:t>
            </w:r>
          </w:p>
        </w:tc>
      </w:tr>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Residual likelihood (L)</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6"/>
              </w:rPr>
              <w:t>1 / 2 / 3 / 4 / 5</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Residual consequence (S)</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6"/>
              </w:rPr>
              <w:t>1 / 2 / 3 / 4 / 5</w:t>
            </w:r>
          </w:p>
        </w:tc>
      </w:tr>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Residual score and band</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Overall risk acceptable</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6"/>
              </w:rPr>
              <w:t>Y / N - rationale below</w:t>
            </w:r>
          </w:p>
        </w:tc>
      </w:tr>
    </w:tbl>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2600"/>
        <w:gridCol w:w="7194"/>
      </w:tblGrid>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Assessment rationale</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7"/>
              </w:rPr>
              <w:t>Explain how hazards, people, protection, management and evacuation lead to the rating</w:t>
            </w:r>
          </w:p>
        </w:tc>
      </w:tr>
    </w:tbl>
    <w:p>
      <w:r>
        <w:br w:type="page"/>
      </w:r>
    </w:p>
    <w:p>
      <w:pPr>
        <w:pStyle w:val="Heading1"/>
        <w:keepNext/>
      </w:pPr>
      <w:r>
        <w:t>10. Significant findings records</w:t>
      </w:r>
    </w:p>
    <w:p>
      <w:pPr>
        <w:spacing w:before="0" w:after="100" w:line="269" w:lineRule="auto"/>
      </w:pPr>
      <w:r>
        <w:rPr>
          <w:rFonts w:ascii="Aptos" w:hAnsi="Aptos"/>
          <w:b w:val="0"/>
          <w:i w:val="0"/>
          <w:color w:val="1D2428"/>
          <w:sz w:val="19"/>
        </w:rPr>
        <w:t>Create one record for each material hazard, deficiency or control issue. Add or duplicate records in the editable document as needed. Immediate danger must be acted on at once and must not wait for routine action planning.</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1500"/>
        <w:gridCol w:w="3700"/>
        <w:gridCol w:w="1700"/>
        <w:gridCol w:w="2894"/>
      </w:tblGrid>
      <w:tr>
        <w:tc>
          <w:tcPr>
            <w:tcW w:type="dxa" w:w="1500"/>
            <w:tcMar>
              <w:top w:w="80" w:type="dxa"/>
              <w:start w:w="120" w:type="dxa"/>
              <w:bottom w:w="80" w:type="dxa"/>
              <w:end w:w="120" w:type="dxa"/>
            </w:tcMar>
            <w:vAlign w:val="center"/>
            <w:shd w:fill="102F3B"/>
          </w:tcPr>
          <w:p>
            <w:pPr>
              <w:spacing w:before="0" w:after="0" w:line="240" w:lineRule="auto"/>
              <w:jc w:val="left"/>
            </w:pPr>
            <w:r/>
            <w:r>
              <w:rPr>
                <w:rFonts w:ascii="Aptos" w:hAnsi="Aptos"/>
                <w:b/>
                <w:i w:val="0"/>
                <w:color w:val="FFFFFF"/>
                <w:sz w:val="16"/>
              </w:rPr>
              <w:t>Finding 1</w:t>
            </w:r>
          </w:p>
        </w:tc>
        <w:tc>
          <w:tcPr>
            <w:tcW w:type="dxa" w:w="3700"/>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c>
          <w:tcPr>
            <w:tcW w:type="dxa" w:w="17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Location / activity</w:t>
            </w:r>
          </w:p>
        </w:tc>
        <w:tc>
          <w:tcPr>
            <w:tcW w:type="dxa" w:w="2894"/>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Hazard / deficiency</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People at risk / consequence</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Existing controls and evidence</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Further controls / interim measure</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Initial L / S / score</w:t>
            </w:r>
          </w:p>
        </w:tc>
        <w:tc>
          <w:tcPr>
            <w:tcW w:type="dxa" w:w="3700"/>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c>
          <w:tcPr>
            <w:tcW w:type="dxa" w:w="17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Residual L / S / score</w:t>
            </w:r>
          </w:p>
        </w:tc>
        <w:tc>
          <w:tcPr>
            <w:tcW w:type="dxa" w:w="2894"/>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bl>
    <w:p>
      <w:pPr>
        <w:spacing w:after="20"/>
      </w:pP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1500"/>
        <w:gridCol w:w="3700"/>
        <w:gridCol w:w="1700"/>
        <w:gridCol w:w="2894"/>
      </w:tblGrid>
      <w:tr>
        <w:tc>
          <w:tcPr>
            <w:tcW w:type="dxa" w:w="1500"/>
            <w:tcMar>
              <w:top w:w="80" w:type="dxa"/>
              <w:start w:w="120" w:type="dxa"/>
              <w:bottom w:w="80" w:type="dxa"/>
              <w:end w:w="120" w:type="dxa"/>
            </w:tcMar>
            <w:vAlign w:val="center"/>
            <w:shd w:fill="102F3B"/>
          </w:tcPr>
          <w:p>
            <w:pPr>
              <w:spacing w:before="0" w:after="0" w:line="240" w:lineRule="auto"/>
              <w:jc w:val="left"/>
            </w:pPr>
            <w:r/>
            <w:r>
              <w:rPr>
                <w:rFonts w:ascii="Aptos" w:hAnsi="Aptos"/>
                <w:b/>
                <w:i w:val="0"/>
                <w:color w:val="FFFFFF"/>
                <w:sz w:val="16"/>
              </w:rPr>
              <w:t>Finding 2</w:t>
            </w:r>
          </w:p>
        </w:tc>
        <w:tc>
          <w:tcPr>
            <w:tcW w:type="dxa" w:w="3700"/>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c>
          <w:tcPr>
            <w:tcW w:type="dxa" w:w="17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Location / activity</w:t>
            </w:r>
          </w:p>
        </w:tc>
        <w:tc>
          <w:tcPr>
            <w:tcW w:type="dxa" w:w="2894"/>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Hazard / deficiency</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People at risk / consequence</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Existing controls and evidence</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Further controls / interim measure</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Initial L / S / score</w:t>
            </w:r>
          </w:p>
        </w:tc>
        <w:tc>
          <w:tcPr>
            <w:tcW w:type="dxa" w:w="3700"/>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c>
          <w:tcPr>
            <w:tcW w:type="dxa" w:w="17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Residual L / S / score</w:t>
            </w:r>
          </w:p>
        </w:tc>
        <w:tc>
          <w:tcPr>
            <w:tcW w:type="dxa" w:w="2894"/>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bl>
    <w:p>
      <w:pPr>
        <w:spacing w:after="20"/>
      </w:pPr>
    </w:p>
    <w:p>
      <w:r>
        <w:br w:type="page"/>
      </w:r>
    </w:p>
    <w:p>
      <w:pPr>
        <w:pStyle w:val="Heading1"/>
        <w:keepNext/>
      </w:pPr>
      <w:r>
        <w:t>10. Significant findings records - continued</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1500"/>
        <w:gridCol w:w="3700"/>
        <w:gridCol w:w="1700"/>
        <w:gridCol w:w="2894"/>
      </w:tblGrid>
      <w:tr>
        <w:tc>
          <w:tcPr>
            <w:tcW w:type="dxa" w:w="1500"/>
            <w:tcMar>
              <w:top w:w="80" w:type="dxa"/>
              <w:start w:w="120" w:type="dxa"/>
              <w:bottom w:w="80" w:type="dxa"/>
              <w:end w:w="120" w:type="dxa"/>
            </w:tcMar>
            <w:vAlign w:val="center"/>
            <w:shd w:fill="102F3B"/>
          </w:tcPr>
          <w:p>
            <w:pPr>
              <w:spacing w:before="0" w:after="0" w:line="240" w:lineRule="auto"/>
              <w:jc w:val="left"/>
            </w:pPr>
            <w:r/>
            <w:r>
              <w:rPr>
                <w:rFonts w:ascii="Aptos" w:hAnsi="Aptos"/>
                <w:b/>
                <w:i w:val="0"/>
                <w:color w:val="FFFFFF"/>
                <w:sz w:val="16"/>
              </w:rPr>
              <w:t>Finding 3</w:t>
            </w:r>
          </w:p>
        </w:tc>
        <w:tc>
          <w:tcPr>
            <w:tcW w:type="dxa" w:w="3700"/>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c>
          <w:tcPr>
            <w:tcW w:type="dxa" w:w="17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Location / activity</w:t>
            </w:r>
          </w:p>
        </w:tc>
        <w:tc>
          <w:tcPr>
            <w:tcW w:type="dxa" w:w="2894"/>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Hazard / deficiency</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People at risk / consequence</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Existing controls and evidence</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Further controls / interim measure</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Initial L / S / score</w:t>
            </w:r>
          </w:p>
        </w:tc>
        <w:tc>
          <w:tcPr>
            <w:tcW w:type="dxa" w:w="3700"/>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c>
          <w:tcPr>
            <w:tcW w:type="dxa" w:w="17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Residual L / S / score</w:t>
            </w:r>
          </w:p>
        </w:tc>
        <w:tc>
          <w:tcPr>
            <w:tcW w:type="dxa" w:w="2894"/>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bl>
    <w:p>
      <w:pPr>
        <w:spacing w:after="20"/>
      </w:pP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1500"/>
        <w:gridCol w:w="3700"/>
        <w:gridCol w:w="1700"/>
        <w:gridCol w:w="2894"/>
      </w:tblGrid>
      <w:tr>
        <w:tc>
          <w:tcPr>
            <w:tcW w:type="dxa" w:w="1500"/>
            <w:tcMar>
              <w:top w:w="80" w:type="dxa"/>
              <w:start w:w="120" w:type="dxa"/>
              <w:bottom w:w="80" w:type="dxa"/>
              <w:end w:w="120" w:type="dxa"/>
            </w:tcMar>
            <w:vAlign w:val="center"/>
            <w:shd w:fill="102F3B"/>
          </w:tcPr>
          <w:p>
            <w:pPr>
              <w:spacing w:before="0" w:after="0" w:line="240" w:lineRule="auto"/>
              <w:jc w:val="left"/>
            </w:pPr>
            <w:r/>
            <w:r>
              <w:rPr>
                <w:rFonts w:ascii="Aptos" w:hAnsi="Aptos"/>
                <w:b/>
                <w:i w:val="0"/>
                <w:color w:val="FFFFFF"/>
                <w:sz w:val="16"/>
              </w:rPr>
              <w:t>Finding 4</w:t>
            </w:r>
          </w:p>
        </w:tc>
        <w:tc>
          <w:tcPr>
            <w:tcW w:type="dxa" w:w="3700"/>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c>
          <w:tcPr>
            <w:tcW w:type="dxa" w:w="17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Location / activity</w:t>
            </w:r>
          </w:p>
        </w:tc>
        <w:tc>
          <w:tcPr>
            <w:tcW w:type="dxa" w:w="2894"/>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Hazard / deficiency</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People at risk / consequence</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Existing controls and evidence</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Further controls / interim measure</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Initial L / S / score</w:t>
            </w:r>
          </w:p>
        </w:tc>
        <w:tc>
          <w:tcPr>
            <w:tcW w:type="dxa" w:w="3700"/>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c>
          <w:tcPr>
            <w:tcW w:type="dxa" w:w="17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Residual L / S / score</w:t>
            </w:r>
          </w:p>
        </w:tc>
        <w:tc>
          <w:tcPr>
            <w:tcW w:type="dxa" w:w="2894"/>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bl>
    <w:p>
      <w:pPr>
        <w:spacing w:after="20"/>
      </w:pPr>
    </w:p>
    <w:p>
      <w:r>
        <w:br w:type="page"/>
      </w:r>
    </w:p>
    <w:p>
      <w:pPr>
        <w:pStyle w:val="Heading1"/>
        <w:keepNext/>
      </w:pPr>
      <w:r>
        <w:t>10. Significant findings records - continued</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1500"/>
        <w:gridCol w:w="3700"/>
        <w:gridCol w:w="1700"/>
        <w:gridCol w:w="2894"/>
      </w:tblGrid>
      <w:tr>
        <w:tc>
          <w:tcPr>
            <w:tcW w:type="dxa" w:w="1500"/>
            <w:tcMar>
              <w:top w:w="80" w:type="dxa"/>
              <w:start w:w="120" w:type="dxa"/>
              <w:bottom w:w="80" w:type="dxa"/>
              <w:end w:w="120" w:type="dxa"/>
            </w:tcMar>
            <w:vAlign w:val="center"/>
            <w:shd w:fill="102F3B"/>
          </w:tcPr>
          <w:p>
            <w:pPr>
              <w:spacing w:before="0" w:after="0" w:line="240" w:lineRule="auto"/>
              <w:jc w:val="left"/>
            </w:pPr>
            <w:r/>
            <w:r>
              <w:rPr>
                <w:rFonts w:ascii="Aptos" w:hAnsi="Aptos"/>
                <w:b/>
                <w:i w:val="0"/>
                <w:color w:val="FFFFFF"/>
                <w:sz w:val="16"/>
              </w:rPr>
              <w:t>Finding 5</w:t>
            </w:r>
          </w:p>
        </w:tc>
        <w:tc>
          <w:tcPr>
            <w:tcW w:type="dxa" w:w="3700"/>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c>
          <w:tcPr>
            <w:tcW w:type="dxa" w:w="17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Location / activity</w:t>
            </w:r>
          </w:p>
        </w:tc>
        <w:tc>
          <w:tcPr>
            <w:tcW w:type="dxa" w:w="2894"/>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Hazard / deficiency</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People at risk / consequence</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Existing controls and evidence</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Further controls / interim measure</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Initial L / S / score</w:t>
            </w:r>
          </w:p>
        </w:tc>
        <w:tc>
          <w:tcPr>
            <w:tcW w:type="dxa" w:w="3700"/>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c>
          <w:tcPr>
            <w:tcW w:type="dxa" w:w="17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Residual L / S / score</w:t>
            </w:r>
          </w:p>
        </w:tc>
        <w:tc>
          <w:tcPr>
            <w:tcW w:type="dxa" w:w="2894"/>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bl>
    <w:p>
      <w:pPr>
        <w:spacing w:after="20"/>
      </w:pP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1500"/>
        <w:gridCol w:w="3700"/>
        <w:gridCol w:w="1700"/>
        <w:gridCol w:w="2894"/>
      </w:tblGrid>
      <w:tr>
        <w:tc>
          <w:tcPr>
            <w:tcW w:type="dxa" w:w="1500"/>
            <w:tcMar>
              <w:top w:w="80" w:type="dxa"/>
              <w:start w:w="120" w:type="dxa"/>
              <w:bottom w:w="80" w:type="dxa"/>
              <w:end w:w="120" w:type="dxa"/>
            </w:tcMar>
            <w:vAlign w:val="center"/>
            <w:shd w:fill="102F3B"/>
          </w:tcPr>
          <w:p>
            <w:pPr>
              <w:spacing w:before="0" w:after="0" w:line="240" w:lineRule="auto"/>
              <w:jc w:val="left"/>
            </w:pPr>
            <w:r/>
            <w:r>
              <w:rPr>
                <w:rFonts w:ascii="Aptos" w:hAnsi="Aptos"/>
                <w:b/>
                <w:i w:val="0"/>
                <w:color w:val="FFFFFF"/>
                <w:sz w:val="16"/>
              </w:rPr>
              <w:t>Finding 6</w:t>
            </w:r>
          </w:p>
        </w:tc>
        <w:tc>
          <w:tcPr>
            <w:tcW w:type="dxa" w:w="3700"/>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c>
          <w:tcPr>
            <w:tcW w:type="dxa" w:w="17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Location / activity</w:t>
            </w:r>
          </w:p>
        </w:tc>
        <w:tc>
          <w:tcPr>
            <w:tcW w:type="dxa" w:w="2894"/>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Hazard / deficiency</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People at risk / consequence</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Existing controls and evidence</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Further controls / interim measure</w:t>
            </w:r>
          </w:p>
        </w:tc>
        <w:tc>
          <w:tcPr>
            <w:tcW w:type="dxa" w:w="8294"/>
            <w:gridSpan w:val="3"/>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r>
        <w:tc>
          <w:tcPr>
            <w:tcW w:type="dxa" w:w="15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Initial L / S / score</w:t>
            </w:r>
          </w:p>
        </w:tc>
        <w:tc>
          <w:tcPr>
            <w:tcW w:type="dxa" w:w="3700"/>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c>
          <w:tcPr>
            <w:tcW w:type="dxa" w:w="1700"/>
            <w:tcMar>
              <w:top w:w="80" w:type="dxa"/>
              <w:start w:w="120" w:type="dxa"/>
              <w:bottom w:w="80" w:type="dxa"/>
              <w:end w:w="120" w:type="dxa"/>
            </w:tcMar>
            <w:vAlign w:val="center"/>
            <w:shd w:fill="EAF2F5"/>
          </w:tcPr>
          <w:p>
            <w:pPr>
              <w:spacing w:before="0" w:after="0" w:line="240" w:lineRule="auto"/>
              <w:jc w:val="left"/>
            </w:pPr>
            <w:r/>
            <w:r>
              <w:rPr>
                <w:rFonts w:ascii="Aptos" w:hAnsi="Aptos"/>
                <w:b/>
                <w:i w:val="0"/>
                <w:color w:val="102F3B"/>
                <w:sz w:val="16"/>
              </w:rPr>
              <w:t>Residual L / S / score</w:t>
            </w:r>
          </w:p>
        </w:tc>
        <w:tc>
          <w:tcPr>
            <w:tcW w:type="dxa" w:w="2894"/>
            <w:tcMar>
              <w:top w:w="80" w:type="dxa"/>
              <w:start w:w="120" w:type="dxa"/>
              <w:bottom w:w="80" w:type="dxa"/>
              <w:end w:w="120" w:type="dxa"/>
            </w:tcMar>
            <w:vAlign w:val="center"/>
          </w:tcPr>
          <w:p>
            <w:pPr>
              <w:spacing w:before="0" w:after="0" w:line="240" w:lineRule="auto"/>
              <w:jc w:val="left"/>
            </w:pPr>
            <w:r/>
            <w:r>
              <w:rPr>
                <w:rFonts w:ascii="Aptos" w:hAnsi="Aptos"/>
                <w:b w:val="0"/>
                <w:i w:val="0"/>
                <w:color w:val="1D2428"/>
                <w:sz w:val="18"/>
              </w:rPr>
              <w:t xml:space="preserve"> </w:t>
            </w:r>
          </w:p>
        </w:tc>
      </w:tr>
    </w:tbl>
    <w:p>
      <w:pPr>
        <w:spacing w:after="20"/>
      </w:pPr>
    </w:p>
    <w:p>
      <w:r>
        <w:br w:type="page"/>
      </w:r>
    </w:p>
    <w:p>
      <w:pPr>
        <w:pStyle w:val="Heading1"/>
        <w:keepNext/>
      </w:pPr>
      <w:r>
        <w:t>11. Prioritised action plan</w:t>
      </w:r>
    </w:p>
    <w:p>
      <w:pPr>
        <w:spacing w:before="0" w:after="100" w:line="269" w:lineRule="auto"/>
      </w:pPr>
      <w:r>
        <w:rPr>
          <w:rFonts w:ascii="Aptos" w:hAnsi="Aptos"/>
          <w:b w:val="0"/>
          <w:i w:val="0"/>
          <w:color w:val="1D2428"/>
          <w:sz w:val="19"/>
        </w:rPr>
        <w:t>Link every action to a finding. Record interim controls separately from the final remedy. The Responsible Person should monitor completion, verify effectiveness and recalculate residual risk. High and substantial risks require immediate management attention.</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500"/>
        <w:gridCol w:w="2600"/>
        <w:gridCol w:w="1800"/>
        <w:gridCol w:w="900"/>
        <w:gridCol w:w="1200"/>
        <w:gridCol w:w="1000"/>
        <w:gridCol w:w="1794"/>
      </w:tblGrid>
      <w:tr>
        <w:trPr>
          <w:tblHeader w:val="true"/>
        </w:trPr>
        <w:tc>
          <w:tcPr>
            <w:tcW w:type="dxa" w:w="50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Ref</w:t>
            </w:r>
          </w:p>
        </w:tc>
        <w:tc>
          <w:tcPr>
            <w:tcW w:type="dxa" w:w="260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Finding / action required</w:t>
            </w:r>
          </w:p>
        </w:tc>
        <w:tc>
          <w:tcPr>
            <w:tcW w:type="dxa" w:w="180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Interim control</w:t>
            </w:r>
          </w:p>
        </w:tc>
        <w:tc>
          <w:tcPr>
            <w:tcW w:type="dxa" w:w="90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Initial risk</w:t>
            </w:r>
          </w:p>
        </w:tc>
        <w:tc>
          <w:tcPr>
            <w:tcW w:type="dxa" w:w="120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Owner</w:t>
            </w:r>
          </w:p>
        </w:tc>
        <w:tc>
          <w:tcPr>
            <w:tcW w:type="dxa" w:w="100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Due date</w:t>
            </w:r>
          </w:p>
        </w:tc>
        <w:tc>
          <w:tcPr>
            <w:tcW w:type="dxa" w:w="179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Completed / residual risk / verification</w:t>
            </w:r>
          </w:p>
        </w:tc>
      </w:tr>
      <w:tr>
        <w:tc>
          <w:tcPr>
            <w:tcW w:type="dxa" w:w="5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1</w:t>
            </w:r>
          </w:p>
        </w:tc>
        <w:tc>
          <w:tcPr>
            <w:tcW w:type="dxa" w:w="26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9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2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0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7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5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2</w:t>
            </w:r>
          </w:p>
        </w:tc>
        <w:tc>
          <w:tcPr>
            <w:tcW w:type="dxa" w:w="26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9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2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0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7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5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3</w:t>
            </w:r>
          </w:p>
        </w:tc>
        <w:tc>
          <w:tcPr>
            <w:tcW w:type="dxa" w:w="26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9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2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0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7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5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4</w:t>
            </w:r>
          </w:p>
        </w:tc>
        <w:tc>
          <w:tcPr>
            <w:tcW w:type="dxa" w:w="26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9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2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0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7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5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5</w:t>
            </w:r>
          </w:p>
        </w:tc>
        <w:tc>
          <w:tcPr>
            <w:tcW w:type="dxa" w:w="26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9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2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0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7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5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6</w:t>
            </w:r>
          </w:p>
        </w:tc>
        <w:tc>
          <w:tcPr>
            <w:tcW w:type="dxa" w:w="26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9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2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0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7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5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7</w:t>
            </w:r>
          </w:p>
        </w:tc>
        <w:tc>
          <w:tcPr>
            <w:tcW w:type="dxa" w:w="26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9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2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0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7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5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8</w:t>
            </w:r>
          </w:p>
        </w:tc>
        <w:tc>
          <w:tcPr>
            <w:tcW w:type="dxa" w:w="26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9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2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0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7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5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9</w:t>
            </w:r>
          </w:p>
        </w:tc>
        <w:tc>
          <w:tcPr>
            <w:tcW w:type="dxa" w:w="26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9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2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0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7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5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10</w:t>
            </w:r>
          </w:p>
        </w:tc>
        <w:tc>
          <w:tcPr>
            <w:tcW w:type="dxa" w:w="26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9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2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0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7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5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11</w:t>
            </w:r>
          </w:p>
        </w:tc>
        <w:tc>
          <w:tcPr>
            <w:tcW w:type="dxa" w:w="26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9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2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0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7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5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12</w:t>
            </w:r>
          </w:p>
        </w:tc>
        <w:tc>
          <w:tcPr>
            <w:tcW w:type="dxa" w:w="26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9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2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0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7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bl>
    <w:p>
      <w:pPr>
        <w:pStyle w:val="Heading2"/>
        <w:keepNext/>
      </w:pPr>
      <w:r>
        <w:t>Action plan review</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1860"/>
        <w:gridCol w:w="3037"/>
        <w:gridCol w:w="1860"/>
        <w:gridCol w:w="3037"/>
      </w:tblGrid>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Reviewed by</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Review date</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r>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Overdue actions escalated to</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Next review date</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r>
    </w:tbl>
    <w:p>
      <w:r>
        <w:br w:type="page"/>
      </w:r>
    </w:p>
    <w:p>
      <w:pPr>
        <w:pStyle w:val="Heading1"/>
        <w:keepNext/>
      </w:pPr>
      <w:r>
        <w:t>12. Records, assurance and review</w:t>
      </w:r>
    </w:p>
    <w:p>
      <w:pPr>
        <w:pStyle w:val="Heading2"/>
        <w:keepNext/>
      </w:pPr>
      <w:r>
        <w:t>12.1 Record and assurance check</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620"/>
        <w:gridCol w:w="4860"/>
        <w:gridCol w:w="1050"/>
        <w:gridCol w:w="3264"/>
      </w:tblGrid>
      <w:tr>
        <w:trPr>
          <w:tblHeader w:val="true"/>
        </w:trPr>
        <w:tc>
          <w:tcPr>
            <w:tcW w:type="dxa" w:w="62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Ref</w:t>
            </w:r>
          </w:p>
        </w:tc>
        <w:tc>
          <w:tcPr>
            <w:tcW w:type="dxa" w:w="486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Assessment point</w:t>
            </w:r>
          </w:p>
        </w:tc>
        <w:tc>
          <w:tcPr>
            <w:tcW w:type="dxa" w:w="10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Y / N / N/A</w:t>
            </w:r>
          </w:p>
        </w:tc>
        <w:tc>
          <w:tcPr>
            <w:tcW w:type="dxa" w:w="326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Evidence, observations, deficiencies and action ref</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R1</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The full fire risk assessment, not only significant findings, is retained and available.</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R2</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The identity and organisation of everyone appointed to undertake or review the assessment is recorded.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R3</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The Responsible Person's fire-safety arrangements, contact details and extent of responsibility are recorded.</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R4</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Relevant information is shared with other Responsible Persons/Accountable Persons and handed to an incoming Responsible Person.</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R5</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A fire logbook or equivalent contains alarm tests, emergency lighting, equipment checks, door checks, maintenance, impairments and defects.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R6</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Training, induction, drills, exercise outcomes and competence records cover all shifts and worker types.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R7</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False alarms, fires, near misses, enforcement contact, insurer requirements and lessons learned are recorded and acted on.</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R8</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Building plans, fire strategy, Regulation 38 information, maintenance manuals and fire-stopping evidence remain current and accessible.</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R9</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The action plan is monitored by senior management and completion is verified rather than accepted without evidence.</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62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R10</w:t>
            </w:r>
          </w:p>
        </w:tc>
        <w:tc>
          <w:tcPr>
            <w:tcW w:type="dxa" w:w="486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The assessment is under continual review and formally reviewed at least annually, in line with HTM 05-03 Part K's recommended maximum review period for complex healthcare assessments.</w:t>
            </w:r>
          </w:p>
        </w:tc>
        <w:tc>
          <w:tcPr>
            <w:tcW w:type="dxa" w:w="105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Y / N / N/A</w:t>
            </w:r>
          </w:p>
        </w:tc>
        <w:tc>
          <w:tcPr>
            <w:tcW w:type="dxa" w:w="326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bl>
    <w:p>
      <w:pPr>
        <w:pStyle w:val="Heading2"/>
        <w:keepNext/>
      </w:pPr>
      <w:r>
        <w:t>12.2 Review triggers</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1500"/>
        <w:gridCol w:w="8294"/>
      </w:tblGrid>
      <w:tr>
        <w:trPr>
          <w:tblHeader w:val="true"/>
        </w:trPr>
        <w:tc>
          <w:tcPr>
            <w:tcW w:type="dxa" w:w="150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Trigger</w:t>
            </w:r>
          </w:p>
        </w:tc>
        <w:tc>
          <w:tcPr>
            <w:tcW w:type="dxa" w:w="829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Examples</w:t>
            </w:r>
          </w:p>
        </w:tc>
      </w:tr>
      <w:tr>
        <w:tc>
          <w:tcPr>
            <w:tcW w:type="dxa" w:w="15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Change</w:t>
            </w:r>
          </w:p>
        </w:tc>
        <w:tc>
          <w:tcPr>
            <w:tcW w:type="dxa" w:w="82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Building works, layout, occupancy, service, treatment, equipment, medical gases, substances, hours, staffing, evacuation strategy or Responsible Person</w:t>
            </w:r>
          </w:p>
        </w:tc>
      </w:tr>
      <w:tr>
        <w:tc>
          <w:tcPr>
            <w:tcW w:type="dxa" w:w="15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Evidence</w:t>
            </w:r>
          </w:p>
        </w:tc>
        <w:tc>
          <w:tcPr>
            <w:tcW w:type="dxa" w:w="82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Fire, near miss, false alarm trend, failed drill, defect, audit, enforcement visit, complaint or new technical information</w:t>
            </w:r>
          </w:p>
        </w:tc>
      </w:tr>
      <w:tr>
        <w:tc>
          <w:tcPr>
            <w:tcW w:type="dxa" w:w="15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People</w:t>
            </w:r>
          </w:p>
        </w:tc>
        <w:tc>
          <w:tcPr>
            <w:tcW w:type="dxa" w:w="82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New dependency pattern, disability need, PEEP, lone working, young person, temporary workforce or reduced staffing</w:t>
            </w:r>
          </w:p>
        </w:tc>
      </w:tr>
      <w:tr>
        <w:tc>
          <w:tcPr>
            <w:tcW w:type="dxa" w:w="15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Time</w:t>
            </w:r>
          </w:p>
        </w:tc>
        <w:tc>
          <w:tcPr>
            <w:tcW w:type="dxa" w:w="829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The locally set review date; for this template a formal review at least every 12 months is recommended</w:t>
            </w:r>
          </w:p>
        </w:tc>
      </w:tr>
    </w:tbl>
    <w:p>
      <w:pPr>
        <w:pStyle w:val="Heading2"/>
        <w:keepNext/>
      </w:pPr>
      <w:r>
        <w:t>12.3 Review history</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700"/>
        <w:gridCol w:w="1350"/>
        <w:gridCol w:w="2000"/>
        <w:gridCol w:w="2450"/>
        <w:gridCol w:w="1450"/>
        <w:gridCol w:w="1844"/>
      </w:tblGrid>
      <w:tr>
        <w:trPr>
          <w:tblHeader w:val="true"/>
        </w:trPr>
        <w:tc>
          <w:tcPr>
            <w:tcW w:type="dxa" w:w="70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Version</w:t>
            </w:r>
          </w:p>
        </w:tc>
        <w:tc>
          <w:tcPr>
            <w:tcW w:type="dxa" w:w="13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Review date</w:t>
            </w:r>
          </w:p>
        </w:tc>
        <w:tc>
          <w:tcPr>
            <w:tcW w:type="dxa" w:w="200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Reason / trigger</w:t>
            </w:r>
          </w:p>
        </w:tc>
        <w:tc>
          <w:tcPr>
            <w:tcW w:type="dxa" w:w="24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Changes and actions</w:t>
            </w:r>
          </w:p>
        </w:tc>
        <w:tc>
          <w:tcPr>
            <w:tcW w:type="dxa" w:w="1450"/>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Assessor</w:t>
            </w:r>
          </w:p>
        </w:tc>
        <w:tc>
          <w:tcPr>
            <w:tcW w:type="dxa" w:w="1844"/>
            <w:vAlign w:val="center"/>
            <w:tcMar>
              <w:top w:w="80" w:type="dxa"/>
              <w:start w:w="120" w:type="dxa"/>
              <w:bottom w:w="80" w:type="dxa"/>
              <w:end w:w="120" w:type="dxa"/>
            </w:tcMar>
            <w:shd w:fill="102F3B"/>
          </w:tcPr>
          <w:p>
            <w:pPr>
              <w:spacing w:before="0" w:after="0" w:line="240" w:lineRule="auto"/>
              <w:jc w:val="left"/>
            </w:pPr>
            <w:r>
              <w:rPr>
                <w:rFonts w:ascii="Aptos" w:hAnsi="Aptos"/>
                <w:b/>
                <w:i w:val="0"/>
                <w:color w:val="FFFFFF"/>
                <w:sz w:val="17"/>
              </w:rPr>
            </w:r>
            <w:r>
              <w:rPr>
                <w:rFonts w:ascii="Aptos" w:hAnsi="Aptos"/>
                <w:b/>
                <w:i w:val="0"/>
                <w:color w:val="FFFFFF"/>
                <w:sz w:val="17"/>
              </w:rPr>
              <w:t>Responsible Person approval</w:t>
            </w:r>
          </w:p>
        </w:tc>
      </w:tr>
      <w:tr>
        <w:tc>
          <w:tcPr>
            <w:tcW w:type="dxa" w:w="7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1</w:t>
            </w:r>
          </w:p>
        </w:tc>
        <w:tc>
          <w:tcPr>
            <w:tcW w:type="dxa" w:w="13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0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7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2</w:t>
            </w:r>
          </w:p>
        </w:tc>
        <w:tc>
          <w:tcPr>
            <w:tcW w:type="dxa" w:w="13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0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7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3</w:t>
            </w:r>
          </w:p>
        </w:tc>
        <w:tc>
          <w:tcPr>
            <w:tcW w:type="dxa" w:w="13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0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7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4</w:t>
            </w:r>
          </w:p>
        </w:tc>
        <w:tc>
          <w:tcPr>
            <w:tcW w:type="dxa" w:w="13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0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7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5</w:t>
            </w:r>
          </w:p>
        </w:tc>
        <w:tc>
          <w:tcPr>
            <w:tcW w:type="dxa" w:w="13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0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7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6</w:t>
            </w:r>
          </w:p>
        </w:tc>
        <w:tc>
          <w:tcPr>
            <w:tcW w:type="dxa" w:w="13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0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7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7</w:t>
            </w:r>
          </w:p>
        </w:tc>
        <w:tc>
          <w:tcPr>
            <w:tcW w:type="dxa" w:w="13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0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r>
        <w:tc>
          <w:tcPr>
            <w:tcW w:type="dxa" w:w="700"/>
            <w:vAlign w:val="center"/>
            <w:tcMar>
              <w:top w:w="80" w:type="dxa"/>
              <w:start w:w="120" w:type="dxa"/>
              <w:bottom w:w="80" w:type="dxa"/>
              <w:end w:w="120" w:type="dxa"/>
            </w:tcMar>
          </w:tcPr>
          <w:p>
            <w:pPr>
              <w:spacing w:before="0" w:after="0" w:line="240" w:lineRule="auto"/>
              <w:jc w:val="center"/>
            </w:pPr>
            <w:r>
              <w:rPr>
                <w:rFonts w:ascii="Aptos" w:hAnsi="Aptos"/>
                <w:b w:val="0"/>
                <w:i w:val="0"/>
                <w:color w:val="1D2428"/>
                <w:sz w:val="17"/>
              </w:rPr>
            </w:r>
            <w:r>
              <w:rPr>
                <w:rFonts w:ascii="Aptos" w:hAnsi="Aptos"/>
                <w:b w:val="0"/>
                <w:i w:val="0"/>
                <w:color w:val="1D2428"/>
                <w:sz w:val="17"/>
              </w:rPr>
              <w:t>8</w:t>
            </w:r>
          </w:p>
        </w:tc>
        <w:tc>
          <w:tcPr>
            <w:tcW w:type="dxa" w:w="13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00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2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450"/>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c>
          <w:tcPr>
            <w:tcW w:type="dxa" w:w="1844"/>
            <w:vAlign w:val="center"/>
            <w:tcMar>
              <w:top w:w="80" w:type="dxa"/>
              <w:start w:w="120" w:type="dxa"/>
              <w:bottom w:w="80" w:type="dxa"/>
              <w:end w:w="120" w:type="dxa"/>
            </w:tcMar>
          </w:tcPr>
          <w:p>
            <w:pPr>
              <w:spacing w:before="0" w:after="0" w:line="240" w:lineRule="auto"/>
              <w:jc w:val="left"/>
            </w:pPr>
            <w:r>
              <w:rPr>
                <w:rFonts w:ascii="Aptos" w:hAnsi="Aptos"/>
                <w:b w:val="0"/>
                <w:i w:val="0"/>
                <w:color w:val="1D2428"/>
                <w:sz w:val="17"/>
              </w:rPr>
            </w:r>
            <w:r>
              <w:rPr>
                <w:rFonts w:ascii="Aptos" w:hAnsi="Aptos"/>
                <w:b w:val="0"/>
                <w:i w:val="0"/>
                <w:color w:val="1D2428"/>
                <w:sz w:val="17"/>
              </w:rPr>
              <w:t xml:space="preserve"> </w:t>
            </w:r>
          </w:p>
        </w:tc>
      </w:tr>
    </w:tbl>
    <w:p>
      <w:pPr>
        <w:pStyle w:val="Heading2"/>
        <w:keepNext/>
      </w:pPr>
      <w:r>
        <w:t>12.4 Final approval</w:t>
      </w:r>
    </w:p>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2600"/>
        <w:gridCol w:w="7194"/>
      </w:tblGrid>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Responsible Person decision</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6D7880"/>
                <w:sz w:val="17"/>
              </w:rPr>
              <w:t>Assessment accepted / returned for amendment / specialist review required</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Immediate restrictions or controls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Resources authorised</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r>
        <w:tc>
          <w:tcPr>
            <w:tcW w:type="dxa" w:w="260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7"/>
              </w:rPr>
              <w:t>Communication to staff and other dutyholders</w:t>
            </w:r>
          </w:p>
        </w:tc>
        <w:tc>
          <w:tcPr>
            <w:tcW w:type="dxa" w:w="7194"/>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7"/>
              </w:rPr>
              <w:t xml:space="preserve"> </w:t>
            </w:r>
          </w:p>
        </w:tc>
      </w:tr>
    </w:tbl>
    <w:tbl>
      <w:tblPr>
        <w:tblW w:type="dxa" w:w="9794"/>
        <w:jc w:val="left"/>
        <w:tblLayout w:type="fixed"/>
        <w:tblLook w:firstColumn="1" w:firstRow="1" w:lastColumn="0" w:lastRow="0" w:noHBand="0" w:noVBand="1" w:val="04A0"/>
        <w:tblInd w:w="120" w:type="dxa"/>
        <w:tblBorders>
          <w:top w:val="single" w:sz="5" w:space="0" w:color="A9B6BC"/>
          <w:left w:val="single" w:sz="5" w:space="0" w:color="A9B6BC"/>
          <w:bottom w:val="single" w:sz="5" w:space="0" w:color="A9B6BC"/>
          <w:right w:val="single" w:sz="5" w:space="0" w:color="A9B6BC"/>
          <w:insideH w:val="single" w:sz="5" w:space="0" w:color="A9B6BC"/>
          <w:insideV w:val="single" w:sz="5" w:space="0" w:color="A9B6BC"/>
        </w:tblBorders>
      </w:tblPr>
      <w:tblGrid>
        <w:gridCol w:w="1860"/>
        <w:gridCol w:w="3037"/>
        <w:gridCol w:w="1860"/>
        <w:gridCol w:w="3037"/>
      </w:tblGrid>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Name and role</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Signature</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r>
      <w:tr>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Date</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c>
          <w:tcPr>
            <w:tcW w:type="dxa" w:w="1860"/>
            <w:vAlign w:val="center"/>
            <w:shd w:fill="EAF2F5"/>
            <w:tcMar>
              <w:top w:w="80" w:type="dxa"/>
              <w:start w:w="120" w:type="dxa"/>
              <w:bottom w:w="80" w:type="dxa"/>
              <w:end w:w="120" w:type="dxa"/>
            </w:tcMar>
          </w:tcPr>
          <w:p>
            <w:pPr>
              <w:spacing w:before="0" w:after="0" w:line="240" w:lineRule="auto"/>
              <w:jc w:val="left"/>
            </w:pPr>
            <w:r/>
            <w:r>
              <w:rPr>
                <w:rFonts w:ascii="Aptos" w:hAnsi="Aptos"/>
                <w:b/>
                <w:i w:val="0"/>
                <w:color w:val="102F3B"/>
                <w:sz w:val="16"/>
              </w:rPr>
              <w:t>Next review</w:t>
            </w:r>
          </w:p>
        </w:tc>
        <w:tc>
          <w:tcPr>
            <w:tcW w:type="dxa" w:w="3037"/>
            <w:vAlign w:val="center"/>
            <w:tcMar>
              <w:top w:w="80" w:type="dxa"/>
              <w:start w:w="120" w:type="dxa"/>
              <w:bottom w:w="80" w:type="dxa"/>
              <w:end w:w="120" w:type="dxa"/>
            </w:tcMar>
          </w:tcPr>
          <w:p>
            <w:pPr>
              <w:spacing w:before="0" w:after="0" w:line="240" w:lineRule="auto"/>
              <w:jc w:val="left"/>
            </w:pPr>
            <w:r/>
            <w:r>
              <w:rPr>
                <w:rFonts w:ascii="Aptos" w:hAnsi="Aptos"/>
                <w:b w:val="0"/>
                <w:i w:val="0"/>
                <w:color w:val="1D2428"/>
                <w:sz w:val="16"/>
              </w:rPr>
              <w:t xml:space="preserve"> </w:t>
            </w:r>
          </w:p>
        </w:tc>
      </w:tr>
    </w:tbl>
    <w:p>
      <w:r>
        <w:br w:type="page"/>
      </w:r>
    </w:p>
    <w:p>
      <w:pPr>
        <w:pStyle w:val="Heading1"/>
        <w:keepNext/>
      </w:pPr>
      <w:r>
        <w:t>Appendix A - Premises plan and fire-safety information</w:t>
      </w:r>
    </w:p>
    <w:p>
      <w:pPr>
        <w:spacing w:before="0" w:after="100" w:line="269" w:lineRule="auto"/>
      </w:pPr>
      <w:r>
        <w:rPr>
          <w:rFonts w:ascii="Aptos" w:hAnsi="Aptos"/>
          <w:b w:val="0"/>
          <w:i w:val="0"/>
          <w:color w:val="1D2428"/>
          <w:sz w:val="19"/>
        </w:rPr>
        <w:t>Insert or attach a clear plan showing, as relevant: escape routes and final exits; compartments and sub-compartments; refuges and evacuation lifts; call points, alarm panel and zones; extinguishers and fixed systems; emergency lighting; medical gas stores/manifolds and isolation points; dangerous substances; plant and utility isolation; fire-service access, hydrants, risers and information box; assembly or receiving areas.</w:t>
      </w:r>
    </w:p>
    <w:tbl>
      <w:tblPr>
        <w:tblW w:type="dxa" w:w="9794"/>
        <w:jc w:val="left"/>
        <w:tblLayout w:type="fixed"/>
        <w:tblLook w:firstColumn="1" w:firstRow="1" w:lastColumn="0" w:lastRow="0" w:noHBand="0" w:noVBand="1" w:val="04A0"/>
        <w:tblInd w:w="120" w:type="dxa"/>
        <w:tblBorders>
          <w:top w:val="single" w:sz="8" w:space="0" w:color="A9B6BC"/>
          <w:left w:val="single" w:sz="8" w:space="0" w:color="A9B6BC"/>
          <w:bottom w:val="single" w:sz="8" w:space="0" w:color="A9B6BC"/>
          <w:right w:val="single" w:sz="8" w:space="0" w:color="A9B6BC"/>
          <w:insideH w:val="single" w:sz="8" w:space="0" w:color="A9B6BC"/>
          <w:insideV w:val="single" w:sz="8" w:space="0" w:color="A9B6BC"/>
        </w:tblBorders>
      </w:tblPr>
      <w:tblGrid>
        <w:gridCol w:w="9794"/>
      </w:tblGrid>
      <w:tr>
        <w:tc>
          <w:tcPr>
            <w:tcW w:type="dxa" w:w="9794"/>
            <w:tcMar>
              <w:top w:w="80" w:type="dxa"/>
              <w:start w:w="120" w:type="dxa"/>
              <w:bottom w:w="80" w:type="dxa"/>
              <w:end w:w="120" w:type="dxa"/>
            </w:tcMar>
          </w:tcPr>
          <w:p>
            <w:pPr>
              <w:spacing w:before="4700" w:after="4700"/>
              <w:jc w:val="center"/>
            </w:pPr>
            <w:r/>
            <w:r>
              <w:rPr>
                <w:rFonts w:ascii="Aptos" w:hAnsi="Aptos"/>
                <w:b/>
                <w:i w:val="0"/>
                <w:color w:val="6D7880"/>
                <w:sz w:val="28"/>
              </w:rPr>
              <w:t>INSERT PREMISES PLAN HERE</w:t>
            </w:r>
          </w:p>
        </w:tc>
      </w:tr>
    </w:tbl>
    <w:p>
      <w:r>
        <w:br w:type="page"/>
      </w:r>
    </w:p>
    <w:p>
      <w:pPr>
        <w:pStyle w:val="Heading1"/>
        <w:keepNext/>
      </w:pPr>
      <w:r>
        <w:t>Appendix B - Principal sources and disclaimer</w:t>
      </w:r>
    </w:p>
    <w:p>
      <w:pPr>
        <w:spacing w:before="0" w:after="100" w:line="269" w:lineRule="auto"/>
      </w:pPr>
      <w:r>
        <w:rPr>
          <w:rFonts w:ascii="Aptos" w:hAnsi="Aptos"/>
          <w:b w:val="0"/>
          <w:i w:val="0"/>
          <w:color w:val="1D2428"/>
          <w:sz w:val="19"/>
        </w:rPr>
        <w:t>Sources checked for this template on 18 August 2026. Users should check for later amendments, replacement guidance and site-specific enforcement requirements.</w:t>
      </w:r>
    </w:p>
    <w:p>
      <w:pPr>
        <w:spacing w:after="50"/>
      </w:pPr>
      <w:r>
        <w:rPr>
          <w:rFonts w:ascii="Aptos" w:hAnsi="Aptos"/>
          <w:b/>
          <w:i w:val="0"/>
          <w:color w:val="102F3B"/>
          <w:sz w:val="16"/>
        </w:rPr>
        <w:t>The Regulatory Reform (Fire Safety) Order 2005 (as amended)</w:t>
      </w:r>
      <w:r>
        <w:br/>
      </w:r>
      <w:r>
        <w:rPr>
          <w:rFonts w:ascii="Aptos" w:hAnsi="Aptos"/>
          <w:b w:val="0"/>
          <w:i w:val="0"/>
          <w:color w:val="275D7A"/>
          <w:sz w:val="14"/>
        </w:rPr>
        <w:t>https://www.legislation.gov.uk/uksi/2005/1541/contents</w:t>
      </w:r>
    </w:p>
    <w:p>
      <w:pPr>
        <w:spacing w:after="50"/>
      </w:pPr>
      <w:r>
        <w:rPr>
          <w:rFonts w:ascii="Aptos" w:hAnsi="Aptos"/>
          <w:b/>
          <w:i w:val="0"/>
          <w:color w:val="102F3B"/>
          <w:sz w:val="16"/>
        </w:rPr>
        <w:t>Building Safety Act 2022, section 156</w:t>
      </w:r>
      <w:r>
        <w:br/>
      </w:r>
      <w:r>
        <w:rPr>
          <w:rFonts w:ascii="Aptos" w:hAnsi="Aptos"/>
          <w:b w:val="0"/>
          <w:i w:val="0"/>
          <w:color w:val="275D7A"/>
          <w:sz w:val="14"/>
        </w:rPr>
        <w:t>https://www.legislation.gov.uk/ukpga/2022/30/section/156</w:t>
      </w:r>
    </w:p>
    <w:p>
      <w:pPr>
        <w:spacing w:after="50"/>
      </w:pPr>
      <w:r>
        <w:rPr>
          <w:rFonts w:ascii="Aptos" w:hAnsi="Aptos"/>
          <w:b/>
          <w:i w:val="0"/>
          <w:color w:val="102F3B"/>
          <w:sz w:val="16"/>
        </w:rPr>
        <w:t>Home Office - A guide for persons with duties under fire safety legislation</w:t>
      </w:r>
      <w:r>
        <w:br/>
      </w:r>
      <w:r>
        <w:rPr>
          <w:rFonts w:ascii="Aptos" w:hAnsi="Aptos"/>
          <w:b w:val="0"/>
          <w:i w:val="0"/>
          <w:color w:val="275D7A"/>
          <w:sz w:val="14"/>
        </w:rPr>
        <w:t>https://www.gov.uk/government/publications/people-with-duties-under-fire-safety-laws/a-guide-for-persons-with-duties-under-fire-safety-legislation-accessible</w:t>
      </w:r>
    </w:p>
    <w:p>
      <w:pPr>
        <w:spacing w:after="50"/>
      </w:pPr>
      <w:r>
        <w:rPr>
          <w:rFonts w:ascii="Aptos" w:hAnsi="Aptos"/>
          <w:b/>
          <w:i w:val="0"/>
          <w:color w:val="102F3B"/>
          <w:sz w:val="16"/>
        </w:rPr>
        <w:t>Home Office - Fire safety risk assessment: healthcare premises</w:t>
      </w:r>
      <w:r>
        <w:br/>
      </w:r>
      <w:r>
        <w:rPr>
          <w:rFonts w:ascii="Aptos" w:hAnsi="Aptos"/>
          <w:b w:val="0"/>
          <w:i w:val="0"/>
          <w:color w:val="275D7A"/>
          <w:sz w:val="14"/>
        </w:rPr>
        <w:t>https://www.gov.uk/government/publications/fire-safety-risk-assessment-healthcare-premises</w:t>
      </w:r>
      <w:r>
        <w:br/>
      </w:r>
      <w:r>
        <w:rPr>
          <w:rFonts w:ascii="Aptos" w:hAnsi="Aptos"/>
          <w:b w:val="0"/>
          <w:i/>
          <w:color w:val="6D7880"/>
          <w:sz w:val="14"/>
        </w:rPr>
        <w:t>Article 50 healthcare guidance for less complex premises whose main use is healthcare.</w:t>
      </w:r>
    </w:p>
    <w:p>
      <w:pPr>
        <w:spacing w:after="50"/>
      </w:pPr>
      <w:r>
        <w:rPr>
          <w:rFonts w:ascii="Aptos" w:hAnsi="Aptos"/>
          <w:b/>
          <w:i w:val="0"/>
          <w:color w:val="102F3B"/>
          <w:sz w:val="16"/>
        </w:rPr>
        <w:t>HSE - Risk assessment: steps needed to manage risk</w:t>
      </w:r>
      <w:r>
        <w:br/>
      </w:r>
      <w:r>
        <w:rPr>
          <w:rFonts w:ascii="Aptos" w:hAnsi="Aptos"/>
          <w:b w:val="0"/>
          <w:i w:val="0"/>
          <w:color w:val="275D7A"/>
          <w:sz w:val="14"/>
        </w:rPr>
        <w:t>https://www.hse.gov.uk/simple-health-safety/risk/steps-needed-to-manage-risk.htm</w:t>
      </w:r>
    </w:p>
    <w:p>
      <w:pPr>
        <w:spacing w:after="50"/>
      </w:pPr>
      <w:r>
        <w:rPr>
          <w:rFonts w:ascii="Aptos" w:hAnsi="Aptos"/>
          <w:b/>
          <w:i w:val="0"/>
          <w:color w:val="102F3B"/>
          <w:sz w:val="16"/>
        </w:rPr>
        <w:t>HSE - Emergency procedures</w:t>
      </w:r>
      <w:r>
        <w:br/>
      </w:r>
      <w:r>
        <w:rPr>
          <w:rFonts w:ascii="Aptos" w:hAnsi="Aptos"/>
          <w:b w:val="0"/>
          <w:i w:val="0"/>
          <w:color w:val="275D7A"/>
          <w:sz w:val="14"/>
        </w:rPr>
        <w:t>https://www.hse.gov.uk/workplace-health/emergency-procedures.htm</w:t>
      </w:r>
    </w:p>
    <w:p>
      <w:pPr>
        <w:spacing w:after="50"/>
      </w:pPr>
      <w:r>
        <w:rPr>
          <w:rFonts w:ascii="Aptos" w:hAnsi="Aptos"/>
          <w:b/>
          <w:i w:val="0"/>
          <w:color w:val="102F3B"/>
          <w:sz w:val="16"/>
        </w:rPr>
        <w:t>NHS England - HTM 05-01: Managing healthcare fire safety</w:t>
      </w:r>
      <w:r>
        <w:br/>
      </w:r>
      <w:r>
        <w:rPr>
          <w:rFonts w:ascii="Aptos" w:hAnsi="Aptos"/>
          <w:b w:val="0"/>
          <w:i w:val="0"/>
          <w:color w:val="275D7A"/>
          <w:sz w:val="14"/>
        </w:rPr>
        <w:t>https://www.england.nhs.uk/publication/managing-healthcare-fire-safety-htm-05-01/</w:t>
      </w:r>
      <w:r>
        <w:br/>
      </w:r>
      <w:r>
        <w:rPr>
          <w:rFonts w:ascii="Aptos" w:hAnsi="Aptos"/>
          <w:b w:val="0"/>
          <w:i/>
          <w:color w:val="6D7880"/>
          <w:sz w:val="14"/>
        </w:rPr>
        <w:t>2026 edition; apply proportionately to the organisation's size, complexity and risk profile.</w:t>
      </w:r>
    </w:p>
    <w:p>
      <w:pPr>
        <w:spacing w:after="50"/>
      </w:pPr>
      <w:r>
        <w:rPr>
          <w:rFonts w:ascii="Aptos" w:hAnsi="Aptos"/>
          <w:b/>
          <w:i w:val="0"/>
          <w:color w:val="102F3B"/>
          <w:sz w:val="16"/>
        </w:rPr>
        <w:t>NHS England - HTM 05-03: Fire Safety in the NHS - Operational provisions</w:t>
      </w:r>
      <w:r>
        <w:br/>
      </w:r>
      <w:r>
        <w:rPr>
          <w:rFonts w:ascii="Aptos" w:hAnsi="Aptos"/>
          <w:b w:val="0"/>
          <w:i w:val="0"/>
          <w:color w:val="275D7A"/>
          <w:sz w:val="14"/>
        </w:rPr>
        <w:t>https://www.england.nhs.uk/publication/fire-safety-in-the-nhs-health-technical-memorandum-05-03/</w:t>
      </w:r>
      <w:r>
        <w:br/>
      </w:r>
      <w:r>
        <w:rPr>
          <w:rFonts w:ascii="Aptos" w:hAnsi="Aptos"/>
          <w:b w:val="0"/>
          <w:i/>
          <w:color w:val="6D7880"/>
          <w:sz w:val="14"/>
        </w:rPr>
        <w:t>Includes Part A training, Part B alarm systems, Part C textiles, Part F arson prevention and Part K complex healthcare fire risk assessment guidance.</w:t>
      </w:r>
    </w:p>
    <w:p>
      <w:pPr>
        <w:spacing w:after="50"/>
      </w:pPr>
      <w:r>
        <w:rPr>
          <w:rFonts w:ascii="Aptos" w:hAnsi="Aptos"/>
          <w:b/>
          <w:i w:val="0"/>
          <w:color w:val="102F3B"/>
          <w:sz w:val="16"/>
        </w:rPr>
        <w:t>CQC - Regulation 15: Premises and equipment</w:t>
      </w:r>
      <w:r>
        <w:br/>
      </w:r>
      <w:r>
        <w:rPr>
          <w:rFonts w:ascii="Aptos" w:hAnsi="Aptos"/>
          <w:b w:val="0"/>
          <w:i w:val="0"/>
          <w:color w:val="275D7A"/>
          <w:sz w:val="14"/>
        </w:rPr>
        <w:t>https://www.cqc.org.uk/guidance-regulation/providers/regulations-service-providers-and-managers/health-social-care-act/regulation-15</w:t>
      </w:r>
    </w:p>
    <w:p>
      <w:pPr>
        <w:pStyle w:val="Heading2"/>
        <w:keepNext/>
      </w:pPr>
      <w:r>
        <w:t>Disclaimer</w:t>
      </w:r>
    </w:p>
    <w:tbl>
      <w:tblPr>
        <w:tblW w:type="dxa" w:w="9794"/>
        <w:jc w:val="left"/>
        <w:tblLayout w:type="fixed"/>
        <w:tblLook w:firstColumn="1" w:firstRow="1" w:lastColumn="0" w:lastRow="0" w:noHBand="0" w:noVBand="1" w:val="04A0"/>
        <w:tblInd w:w="120" w:type="dxa"/>
        <w:tblBorders>
          <w:top w:val="single" w:sz="10" w:space="0" w:color="E8A72B"/>
          <w:left w:val="single" w:sz="10" w:space="0" w:color="E8A72B"/>
          <w:bottom w:val="single" w:sz="10" w:space="0" w:color="E8A72B"/>
          <w:right w:val="single" w:sz="10" w:space="0" w:color="E8A72B"/>
          <w:insideH w:val="single" w:sz="10" w:space="0" w:color="E8A72B"/>
          <w:insideV w:val="single" w:sz="10" w:space="0" w:color="E8A72B"/>
        </w:tblBorders>
      </w:tblPr>
      <w:tblGrid>
        <w:gridCol w:w="9794"/>
      </w:tblGrid>
      <w:tr>
        <w:tc>
          <w:tcPr>
            <w:tcW w:type="dxa" w:w="9794"/>
            <w:tcMar>
              <w:top w:w="80" w:type="dxa"/>
              <w:start w:w="120" w:type="dxa"/>
              <w:bottom w:w="80" w:type="dxa"/>
              <w:end w:w="120" w:type="dxa"/>
            </w:tcMar>
            <w:shd w:fill="FDEAEA"/>
          </w:tcPr>
          <w:p>
            <w:pPr>
              <w:spacing w:after="60"/>
            </w:pPr>
            <w:r/>
            <w:r>
              <w:rPr>
                <w:rFonts w:ascii="Aptos" w:hAnsi="Aptos"/>
                <w:b/>
                <w:i w:val="0"/>
                <w:color w:val="9C2F2F"/>
                <w:sz w:val="20"/>
              </w:rPr>
              <w:t>READ BEFORE USE</w:t>
            </w:r>
          </w:p>
          <w:p>
            <w:pPr>
              <w:spacing w:before="0" w:after="0" w:line="259" w:lineRule="auto"/>
            </w:pPr>
            <w:r>
              <w:rPr>
                <w:rFonts w:ascii="Aptos" w:hAnsi="Aptos"/>
                <w:b w:val="0"/>
                <w:i w:val="0"/>
                <w:color w:val="1D2428"/>
                <w:sz w:val="18"/>
              </w:rPr>
              <w:t>This template is general information and a structured recording aid. It is not legal advice, a fire-engineering design, a certificate of compliance, a substitute for a physical inspection or a substitute for competent professional judgement. Completing every field does not prove that the assessment is suitable and sufficient. The Responsible Person must ensure that the assessor and anyone implementing preventive or protective measures is competent for the premises and task; verify current legislation, guidance and standards; act immediately on serious risk; consult other dutyholders; and obtain specialist advice whenever the building, occupancy, clinical activity, fire strategy or deficiency falls outside the user's competence. CQCConsultancy.net accepts no responsibility for decisions made solely by relying on an unadapted or incompletely verified template.</w:t>
            </w:r>
          </w:p>
        </w:tc>
      </w:tr>
    </w:tbl>
    <w:p>
      <w:pPr>
        <w:spacing w:after="0"/>
      </w:pPr>
    </w:p>
    <w:p>
      <w:pPr>
        <w:pStyle w:val="Heading2"/>
        <w:keepNext/>
      </w:pPr>
      <w:r>
        <w:t>Complex-premises escalation test</w:t>
      </w:r>
    </w:p>
    <w:p>
      <w:pPr>
        <w:spacing w:before="0" w:after="100" w:line="269" w:lineRule="auto"/>
      </w:pPr>
      <w:r>
        <w:rPr>
          <w:rFonts w:ascii="Aptos" w:hAnsi="Aptos"/>
          <w:b w:val="0"/>
          <w:i w:val="0"/>
          <w:color w:val="1D2428"/>
          <w:sz w:val="19"/>
        </w:rPr>
        <w:t>Obtain specialist healthcare fire-safety advice and consider the full HTM 05-03 Part K primary/secondary methodology where any of the following applies: hospital or multi-building campus; inpatient, sleeping, secure or mental health accommodation; dependent or very high dependency patients; progressive horizontal evacuation; complex compartmentation; high-rise or higher-risk building interfaces; operating theatres, oxygen-enriched or high-risk clinical environments; extensive medical gas systems; engineered fire strategy; combustible external wall concerns; major alteration; repeated system failure; enforcement action; or uncertainty about structural fire protection.</w:t>
      </w:r>
    </w:p>
    <w:sectPr w:rsidR="00FC693F" w:rsidRPr="0006063C" w:rsidSect="00034616">
      <w:headerReference w:type="default" r:id="rId9"/>
      <w:footerReference w:type="default" r:id="rId10"/>
      <w:pgSz w:w="11906" w:h="16838"/>
      <w:pgMar w:top="992" w:right="936" w:bottom="964" w:left="936" w:header="312" w:footer="31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794"/>
      <w:jc w:val="left"/>
      <w:tblLayout w:type="fixed"/>
      <w:tblLook w:firstColumn="1" w:firstRow="1" w:lastColumn="0" w:lastRow="0" w:noHBand="0" w:noVBand="1" w:val="04A0"/>
      <w:tblInd w:w="0"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6500"/>
      <w:gridCol w:w="3294"/>
    </w:tblGrid>
    <w:tr>
      <w:tc>
        <w:tcPr>
          <w:tcW w:type="dxa" w:w="6500"/>
          <w:tcMar>
            <w:top w:w="80" w:type="dxa"/>
            <w:start w:w="120" w:type="dxa"/>
            <w:bottom w:w="80" w:type="dxa"/>
            <w:end w:w="120" w:type="dxa"/>
          </w:tcMar>
          <w:vAlign w:val="center"/>
        </w:tcPr>
        <w:p>
          <w:pPr>
            <w:spacing w:before="0" w:after="0" w:line="240" w:lineRule="auto"/>
            <w:jc w:val="left"/>
          </w:pPr>
          <w:r/>
          <w:r>
            <w:rPr>
              <w:rFonts w:ascii="Aptos" w:hAnsi="Aptos"/>
              <w:b w:val="0"/>
              <w:i w:val="0"/>
              <w:color w:val="6D7880"/>
              <w:sz w:val="15"/>
            </w:rPr>
            <w:t>CQCConsultancy.net | Review at least annually and whenever material circumstances change</w:t>
          </w:r>
        </w:p>
      </w:tc>
      <w:tc>
        <w:tcPr>
          <w:tcW w:type="dxa" w:w="3294"/>
          <w:tcMar>
            <w:top w:w="80" w:type="dxa"/>
            <w:start w:w="120" w:type="dxa"/>
            <w:bottom w:w="80" w:type="dxa"/>
            <w:end w:w="120" w:type="dxa"/>
          </w:tcMar>
        </w:tcPr>
        <w:p>
          <w:pPr>
            <w:jc w:val="right"/>
          </w:pPr>
          <w:r>
            <w:rPr>
              <w:rFonts w:ascii="Aptos" w:hAnsi="Aptos"/>
              <w:b w:val="0"/>
              <w:i w:val="0"/>
              <w:color w:val="6D7880"/>
              <w:sz w:val="16"/>
            </w:rPr>
            <w:t xml:space="preserve">Page </w:t>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8" w:space="4" w:color="E8A72B"/>
      </w:pBdr>
    </w:pPr>
    <w:r>
      <w:drawing>
        <wp:inline xmlns:a="http://schemas.openxmlformats.org/drawingml/2006/main" xmlns:pic="http://schemas.openxmlformats.org/drawingml/2006/picture">
          <wp:extent cx="1116000" cy="424462"/>
          <wp:docPr id="1" name="Picture 1" descr="CQC Consultancy logo" title="CQC Consultancy"/>
          <wp:cNvGraphicFramePr>
            <a:graphicFrameLocks noChangeAspect="1"/>
          </wp:cNvGraphicFramePr>
          <a:graphic>
            <a:graphicData uri="http://schemas.openxmlformats.org/drawingml/2006/picture">
              <pic:pic>
                <pic:nvPicPr>
                  <pic:cNvPr id="0" name="cqcconsultancy-logo.png"/>
                  <pic:cNvPicPr/>
                </pic:nvPicPr>
                <pic:blipFill>
                  <a:blip r:embed="rId1"/>
                  <a:stretch>
                    <a:fillRect/>
                  </a:stretch>
                </pic:blipFill>
                <pic:spPr>
                  <a:xfrm>
                    <a:off x="0" y="0"/>
                    <a:ext cx="1116000" cy="424462"/>
                  </a:xfrm>
                  <a:prstGeom prst="rect"/>
                </pic:spPr>
              </pic:pic>
            </a:graphicData>
          </a:graphic>
        </wp:inline>
      </w:drawing>
    </w:r>
    <w:r>
      <w:rPr>
        <w:rFonts w:ascii="Aptos" w:hAnsi="Aptos"/>
        <w:b/>
        <w:i w:val="0"/>
        <w:color w:val="102F3B"/>
        <w:sz w:val="17"/>
      </w:rPr>
      <w:t xml:space="preserve">    HEALTHCARE FIRE RISK ASSESSMENT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ptos" w:hAnsi="Aptos"/>
      <w:color w:val="1D2428"/>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102F3B"/>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Display" w:hAnsi="Aptos Display"/>
      <w:b/>
      <w:bCs/>
      <w:color w:val="102F3B"/>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0B2530"/>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Healthcare Fire Risk Assessment</dc:title>
  <dc:subject>Fire risk assessment template for healthcare premises in England</dc:subject>
  <dc:creator>CQC Consultancy</dc:creator>
  <cp:keywords>fire risk assessment, healthcare, HTM 05-03, Fire Safety Order, CQC Consultancy</cp:keywords>
  <dc:description>Prepared as an editable template. Site-specific competent assessment required.</dc:description>
  <cp:lastModifiedBy/>
  <cp:revision>1</cp:revision>
  <dcterms:created xsi:type="dcterms:W3CDTF">2013-12-23T23:15:00Z</dcterms:created>
  <dcterms:modified xsi:type="dcterms:W3CDTF">2013-12-23T23:15:00Z</dcterms:modified>
  <cp:category/>
</cp:coreProperties>
</file>