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Dental Practice Governance and Quality Assurance Policy Template</w:t>
      </w:r>
    </w:p>
    <w:p>
      <w:pPr>
        <w:jc w:val="left"/>
      </w:pPr>
      <w:r>
        <w:rPr>
          <w:b/>
          <w:color w:val="FF6B35"/>
          <w:sz w:val="21"/>
        </w:rPr>
        <w:t>Editable template for CQC registered and applicant dental providers</w:t>
      </w:r>
    </w:p>
    <w:p>
      <w:r>
        <w:rPr>
          <w:b/>
        </w:rPr>
        <w:t xml:space="preserve">Important: </w:t>
      </w:r>
      <w:r>
        <w:t>This template must be adapted to the provider's legal entity, locations, staffing structure, services and actual governance arrangements. Delete all instructions in square brackets before approval or submission.</w:t>
      </w:r>
    </w:p>
    <w:tbl>
      <w:tblPr>
        <w:tblW w:type="auto" w:w="0"/>
        <w:tblLook w:firstColumn="1" w:firstRow="1" w:lastColumn="0" w:lastRow="0" w:noHBand="0" w:noVBand="1" w:val="04A0"/>
      </w:tblPr>
      <w:tblGrid>
        <w:gridCol w:w="1512"/>
        <w:gridCol w:w="3672"/>
        <w:gridCol w:w="1512"/>
        <w:gridCol w:w="3456"/>
      </w:tblGrid>
      <w:tr>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Provider</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legal entity]</w:t>
            </w:r>
          </w:p>
        </w:tc>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Practice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trading name]</w:t>
            </w:r>
          </w:p>
        </w:tc>
      </w:tr>
      <w:tr>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Policy owner</w:t>
            </w:r>
          </w:p>
        </w:tc>
        <w:tc>
          <w:tcPr>
            <w:tcW w:type="dxa" w:w="2541"/>
            <w:shd w:fill="F4F7FA"/>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role or name]</w:t>
            </w:r>
          </w:p>
        </w:tc>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Approved by</w:t>
            </w:r>
          </w:p>
        </w:tc>
        <w:tc>
          <w:tcPr>
            <w:tcW w:type="dxa" w:w="2541"/>
            <w:shd w:fill="F4F7FA"/>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role or governing body]</w:t>
            </w:r>
          </w:p>
        </w:tc>
      </w:tr>
      <w:tr>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Version</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version]</w:t>
            </w:r>
          </w:p>
        </w:tc>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Approval date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date]</w:t>
            </w:r>
          </w:p>
        </w:tc>
      </w:tr>
      <w:tr>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Review date</w:t>
            </w:r>
          </w:p>
        </w:tc>
        <w:tc>
          <w:tcPr>
            <w:tcW w:type="dxa" w:w="2541"/>
            <w:shd w:fill="F4F7FA"/>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date]</w:t>
            </w:r>
          </w:p>
        </w:tc>
        <w:tc>
          <w:tcPr>
            <w:tcW w:type="dxa" w:w="2541"/>
            <w:shd w:fill="0A192F"/>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b/>
                <w:color w:val="FFFFFF"/>
                <w:sz w:val="17"/>
              </w:rPr>
              <w:t>Applies to</w:t>
            </w:r>
          </w:p>
        </w:tc>
        <w:tc>
          <w:tcPr>
            <w:tcW w:type="dxa" w:w="2541"/>
            <w:shd w:fill="F4F7FA"/>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vAlign w:val="center"/>
          </w:tcPr>
          <w:p>
            <w:pPr>
              <w:spacing w:after="0" w:line="240" w:lineRule="auto"/>
            </w:pPr>
            <w:r>
              <w:rPr>
                <w:rFonts w:ascii="Aptos" w:hAnsi="Aptos"/>
                <w:sz w:val="17"/>
              </w:rPr>
              <w:t>[Insert locations]</w:t>
            </w:r>
          </w:p>
        </w:tc>
      </w:tr>
    </w:tbl>
    <w:p>
      <w:pPr>
        <w:pStyle w:val="Heading1"/>
        <w:keepNext/>
      </w:pPr>
      <w:r>
        <w:t>1 Purpose</w:t>
      </w:r>
    </w:p>
    <w:p>
      <w:r>
        <w:t>This policy describes how [provider name] will oversee the quality, safety and management of its dental services. It establishes clear accountability, quality assurance, risk management, records management, feedback and improvement arrangements in accordance with Regulation 17 of the Health and Social Care Act 2008 Regulated Activities Regulations 2014.</w:t>
      </w:r>
    </w:p>
    <w:p>
      <w:pPr>
        <w:pStyle w:val="Heading1"/>
        <w:keepNext/>
      </w:pPr>
      <w:r>
        <w:t>2 Scope</w:t>
      </w:r>
    </w:p>
    <w:p>
      <w:r>
        <w:t>This policy applies to the provider, directors or partners, nominated individual where applicable, registered manager, practice managers, dentists, dental care professionals, administrative staff, trainees, locums and contractors working at or from [insert locations].</w:t>
      </w:r>
    </w:p>
    <w:p>
      <w:pPr>
        <w:pStyle w:val="Heading1"/>
        <w:keepNext/>
      </w:pPr>
      <w:r>
        <w:t>3 Legal and professional framework</w:t>
      </w:r>
    </w:p>
    <w:p>
      <w:r>
        <w:t>The provider will have regard to current legislation and recognised guidance, including:</w:t>
      </w:r>
    </w:p>
    <w:p>
      <w:pPr>
        <w:pStyle w:val="ListBullet"/>
      </w:pPr>
      <w:r>
        <w:t>Regulation 17 Good governance and the other fundamental standards relevant to the service</w:t>
      </w:r>
    </w:p>
    <w:p>
      <w:pPr>
        <w:pStyle w:val="ListBullet"/>
      </w:pPr>
      <w:r>
        <w:t>UK GDPR and the Data Protection Act 2018</w:t>
      </w:r>
    </w:p>
    <w:p>
      <w:pPr>
        <w:pStyle w:val="ListBullet"/>
      </w:pPr>
      <w:r>
        <w:t>GDC standards, CQC dental mythbusters, HTM 01-05 and applicable radiation legislation</w:t>
      </w:r>
    </w:p>
    <w:p>
      <w:pPr>
        <w:pStyle w:val="Heading1"/>
        <w:keepNext/>
      </w:pPr>
      <w:r>
        <w:t>4 Governance principles</w:t>
      </w:r>
    </w:p>
    <w:p>
      <w:r>
        <w:t>The provider will operate systems that are proportionate to the size and complexity of the service. Governance information will be accurate, current and reviewed by people with suitable knowledge. Concerns will be escalated promptly, actions will have named owners and completion dates, and the effectiveness of improvements will be checked.</w:t>
      </w:r>
    </w:p>
    <w:p>
      <w:pPr>
        <w:pStyle w:val="Heading1"/>
        <w:keepNext/>
      </w:pPr>
      <w:r>
        <w:t>5 Leadership and accountability</w:t>
      </w:r>
    </w:p>
    <w:p>
      <w:r>
        <w:t>Overall accountability rests with [insert provider, directors or partners]. Day-to-day responsibility for the regulated activities rests with [insert registered manager or responsible person]. The current organisational structure chart is attached to this policy and will identify reporting lines and delegated responsibilities.</w:t>
      </w:r>
    </w:p>
    <w:p>
      <w:pPr>
        <w:pStyle w:val="ListBullet"/>
      </w:pPr>
      <w:r>
        <w:t>Provider or directors: resources, regulatory oversight and scrutiny of quality and safety.</w:t>
      </w:r>
    </w:p>
    <w:p>
      <w:pPr>
        <w:pStyle w:val="ListBullet"/>
      </w:pPr>
      <w:r>
        <w:t>Nominated individual and registered manager, where applicable: supervision, day-to-day compliance, governance review, escalation and action monitoring.</w:t>
      </w:r>
    </w:p>
    <w:p>
      <w:pPr>
        <w:pStyle w:val="ListBullet"/>
      </w:pPr>
      <w:r>
        <w:t>Practice leads and staff: oversight of assigned areas, following procedures, maintaining records and reporting risks, incidents and concerns.</w:t>
      </w:r>
    </w:p>
    <w:p>
      <w:pPr>
        <w:pStyle w:val="Heading1"/>
        <w:keepNext/>
      </w:pPr>
      <w:r>
        <w:t>6 Governance meetings and oversight</w:t>
      </w:r>
    </w:p>
    <w:p>
      <w:r>
        <w:t>Governance will be reviewed [monthly or quarterly] by [insert attendees]. The meeting will consider audit findings, risks, incidents, complaints, feedback, safeguarding, infection control, medicines, medical emergencies, equipment, staff training, patient safety alerts and progress against action plans. Minutes will record decisions, responsible persons and deadlines. Urgent risks will be escalated immediately and will not wait for the next meeting.</w:t>
      </w:r>
    </w:p>
    <w:p>
      <w:pPr>
        <w:pStyle w:val="Heading1"/>
        <w:keepNext/>
      </w:pPr>
      <w:r>
        <w:t>7 Quality and safety assurance</w:t>
      </w:r>
    </w:p>
    <w:p>
      <w:r>
        <w:t>The provider will assess, monitor and improve the service using information from audits, risk assessments, complaints, incidents, patient and staff feedback, clinical records, training records, equipment checks, safety alerts and relevant performance information. Findings will be analysed for themes and shared with those who need to act.</w:t>
      </w:r>
    </w:p>
    <w:p>
      <w:pPr>
        <w:pStyle w:val="Heading1"/>
        <w:keepNext/>
      </w:pPr>
      <w:r>
        <w:t>8 Audit and quality improvement</w:t>
      </w:r>
    </w:p>
    <w:p>
      <w:r>
        <w:t>An annual audit schedule will identify the audit subject, standard, frequency and responsible person. As a minimum, the programme will address the dental audit requirements applicable to the service:</w:t>
      </w:r>
    </w:p>
    <w:p>
      <w:pPr>
        <w:pStyle w:val="ListBullet"/>
      </w:pPr>
      <w:r>
        <w:t>Decontamination and infection prevention processes at least every six months, with review and further action determined by the findings and HTM 01-05.</w:t>
      </w:r>
    </w:p>
    <w:p>
      <w:pPr>
        <w:pStyle w:val="ListBullet"/>
      </w:pPr>
      <w:r>
        <w:t>Radiography quality assurance and clinical audit in accordance with IRR17, IR(ME)R and current dental radiography guidance.</w:t>
      </w:r>
    </w:p>
    <w:p>
      <w:pPr>
        <w:pStyle w:val="ListBullet"/>
      </w:pPr>
      <w:r>
        <w:t>Accessibility and reasonable adjustments, considering the Equality Act 2010 and changes to the service or premises.</w:t>
      </w:r>
    </w:p>
    <w:p>
      <w:pPr>
        <w:pStyle w:val="ListBullet"/>
      </w:pPr>
      <w:r>
        <w:t>Other risk-based topics such as clinical records, antimicrobial prescribing, consent, referrals, complaints and emergency arrangements.</w:t>
      </w:r>
    </w:p>
    <w:p>
      <w:r>
        <w:t>Each audit will define the standard and method, record the findings, identify actions and be repeated where necessary to establish whether the change was effective.</w:t>
      </w:r>
    </w:p>
    <w:p>
      <w:pPr>
        <w:pStyle w:val="Heading1"/>
        <w:keepNext/>
      </w:pPr>
      <w:r>
        <w:t>9 Risk incidents and complaints</w:t>
      </w:r>
    </w:p>
    <w:p>
      <w:r>
        <w:t>Risks will be recorded on the practice risk register and assessed using the approved risk-rating method. Controls, interim safeguards, action owners and review dates will be documented. Risks that increase or may cause significant harm will be escalated to [insert role] and, where required, to an external body.</w:t>
      </w:r>
    </w:p>
    <w:p>
      <w:r>
        <w:t>Incidents, near misses, complaints and safeguarding concerns will be reported through the relevant practice procedure. Reviews will consider contributory factors, required notifications, learning and preventive action. Learning will be shared with the team and monitored through the governance action plan.</w:t>
      </w:r>
    </w:p>
    <w:p>
      <w:pPr>
        <w:pStyle w:val="Heading1"/>
        <w:keepNext/>
      </w:pPr>
      <w:r>
        <w:t>10 Records management and data protection</w:t>
      </w:r>
    </w:p>
    <w:p>
      <w:r>
        <w:t>Patient, staff and management records will be accurate, complete, current, legible and securely maintained. Access will be limited to authorised people. Records will be created, amended, retained, shared and securely destroyed in accordance with legal requirements, recognised guidance and the practice retention schedule.</w:t>
      </w:r>
    </w:p>
    <w:p>
      <w:r>
        <w:t>The provider will process personal information lawfully, fairly and transparently; use it only for defined purposes; limit it to what is necessary; keep it accurate; retain it only as long as required; and protect it against unauthorised access, loss or damage. Suspected data breaches will be contained, assessed, documented and reported where required.</w:t>
      </w:r>
    </w:p>
    <w:p>
      <w:r>
        <w:br w:type="page"/>
      </w:r>
    </w:p>
    <w:p>
      <w:pPr>
        <w:pStyle w:val="Heading1"/>
        <w:keepNext/>
      </w:pPr>
      <w:r>
        <w:t>11 Feedback and involvement</w:t>
      </w:r>
    </w:p>
    <w:p>
      <w:r>
        <w:t>The practice will actively seek feedback from patients, representatives, staff and relevant external organisations. Feedback may be obtained through surveys, complaints, compliments, reviews, meetings and direct comments. The provider will record and analyse feedback, identify themes, take proportionate action and communicate improvements where appropriate.</w:t>
      </w:r>
    </w:p>
    <w:p>
      <w:pPr>
        <w:pStyle w:val="Heading1"/>
        <w:keepNext/>
      </w:pPr>
      <w:r>
        <w:t>12 Improvement action planning</w:t>
      </w:r>
    </w:p>
    <w:p>
      <w:r>
        <w:t>Actions arising from audits, risks, incidents, complaints, feedback and regulatory guidance will be entered on a governance action plan. Each action will include a responsible person, priority, target date and evidence of completion. Closure will require confirmation that the action has been implemented and, where appropriate, that it produced the intended improvement.</w:t>
      </w:r>
    </w:p>
    <w:p>
      <w:pPr>
        <w:pStyle w:val="Heading1"/>
        <w:keepNext/>
      </w:pPr>
      <w:r>
        <w:t>13 Monitoring and policy review</w:t>
      </w:r>
    </w:p>
    <w:p>
      <w:r>
        <w:t>The registered manager or policy owner will monitor implementation through governance meetings, audit results, action-plan reviews and staff discussions. This policy will be reviewed at least annually and sooner following a significant incident, regulatory change, change of provider, new location, material service change or evidence that the arrangements are ineffective.</w:t>
      </w:r>
    </w:p>
    <w:p>
      <w:pPr>
        <w:pStyle w:val="Heading1"/>
        <w:keepNext/>
      </w:pPr>
      <w:r>
        <w:t>Appendix A Suggested governance schedule</w:t>
      </w:r>
    </w:p>
    <w:tbl>
      <w:tblPr>
        <w:tblW w:type="auto" w:w="0"/>
        <w:jc w:val="center"/>
        <w:tblLayout w:type="fixed"/>
        <w:tblLook w:firstColumn="1" w:firstRow="1" w:lastColumn="0" w:lastRow="0" w:noHBand="0" w:noVBand="1" w:val="04A0"/>
      </w:tblPr>
      <w:tblGrid>
        <w:gridCol w:w="2376"/>
        <w:gridCol w:w="3024"/>
        <w:gridCol w:w="1728"/>
        <w:gridCol w:w="2880"/>
      </w:tblGrid>
      <w:tr>
        <w:trPr>
          <w:tblHeader w:val="true"/>
        </w:trP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Area</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Suggested review</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Lead</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Evidence</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Governance meeting</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[Monthly or quarterly]</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[Insert role]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Minutes and action log</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Risk register</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[Insert frequency] and after change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[Insert role]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Current risk register</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IPC and decontamination</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At least every 6 months</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IPC lead</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Audit and re-audit</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Radiography</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In line with local rules and guidance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[Insert role]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QA and audit records</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Accessibility</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[Insert frequency] and after change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[Insert role]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Review and action plan</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Complaints incidents feedback</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At each governance review</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Registered manager</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Themes and actions</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Training and recruitment</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[Insert frequency]</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[Insert role]</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Matrices and file checks</w:t>
            </w:r>
          </w:p>
        </w:tc>
      </w:tr>
      <w:tr>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Policy review</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At least annually</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Policy owner</w:t>
            </w:r>
          </w:p>
        </w:tc>
        <w:tc>
          <w:tcPr>
            <w:tcW w:type="dxa" w:w="2541"/>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Version and approval record</w:t>
            </w:r>
          </w:p>
        </w:tc>
      </w:tr>
    </w:tbl>
    <w:p>
      <w:pPr>
        <w:pStyle w:val="Heading1"/>
        <w:keepNext/>
      </w:pPr>
      <w:r>
        <w:t>Appendix B Governance action record</w:t>
      </w:r>
    </w:p>
    <w:tbl>
      <w:tblPr>
        <w:tblW w:type="auto" w:w="0"/>
        <w:jc w:val="center"/>
        <w:tblLayout w:type="fixed"/>
        <w:tblLook w:firstColumn="1" w:firstRow="1" w:lastColumn="0" w:lastRow="0" w:noHBand="0" w:noVBand="1" w:val="04A0"/>
      </w:tblPr>
      <w:tblGrid>
        <w:gridCol w:w="1224"/>
        <w:gridCol w:w="2448"/>
        <w:gridCol w:w="936"/>
        <w:gridCol w:w="1224"/>
        <w:gridCol w:w="1080"/>
        <w:gridCol w:w="2952"/>
      </w:tblGrid>
      <w:tr>
        <w:trPr>
          <w:tblHeader w:val="true"/>
        </w:trPr>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Source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Action</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Priority</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Owner</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Due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0A192F"/>
          </w:tcPr>
          <w:p>
            <w:pPr>
              <w:spacing w:after="0" w:line="240" w:lineRule="auto"/>
            </w:pPr>
            <w:r>
              <w:rPr>
                <w:rFonts w:ascii="Aptos" w:hAnsi="Aptos"/>
                <w:b/>
                <w:color w:val="FFFFFF"/>
                <w:sz w:val="17"/>
              </w:rPr>
              <w:t>Outcome and closure evidence</w:t>
            </w:r>
          </w:p>
        </w:tc>
      </w:tr>
      <w:tr>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tcPr>
          <w:p>
            <w:pPr>
              <w:spacing w:after="0" w:line="240" w:lineRule="auto"/>
            </w:pPr>
            <w:r>
              <w:rPr>
                <w:rFonts w:ascii="Aptos" w:hAnsi="Aptos"/>
                <w:sz w:val="17"/>
              </w:rPr>
              <w:t>[Complete]</w:t>
            </w:r>
          </w:p>
        </w:tc>
      </w:tr>
      <w:tr>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c>
          <w:tcPr>
            <w:tcW w:type="dxa" w:w="1694"/>
            <w:tcBorders>
              <w:top w:val="single" w:sz="6" w:color="D9D9D9"/>
              <w:left w:val="single" w:sz="6" w:color="D9D9D9"/>
              <w:bottom w:val="single" w:sz="6" w:color="D9D9D9"/>
              <w:right w:val="single" w:sz="6" w:color="D9D9D9"/>
              <w:insideH w:val="single" w:sz="6" w:color="D9D9D9"/>
              <w:insideV w:val="single" w:sz="6" w:color="D9D9D9"/>
            </w:tcBorders>
            <w:tcMar>
              <w:top w:w="90" w:type="dxa"/>
              <w:start w:w="110" w:type="dxa"/>
              <w:bottom w:w="90" w:type="dxa"/>
              <w:end w:w="110" w:type="dxa"/>
            </w:tcMar>
            <w:vAlign w:val="center"/>
            <w:shd w:fill="F4F7FA"/>
          </w:tcPr>
          <w:p>
            <w:pPr>
              <w:spacing w:after="0" w:line="240" w:lineRule="auto"/>
            </w:pPr>
            <w:r>
              <w:rPr>
                <w:rFonts w:ascii="Aptos" w:hAnsi="Aptos"/>
                <w:sz w:val="17"/>
              </w:rPr>
              <w:t>[Complete]</w:t>
            </w:r>
          </w:p>
        </w:tc>
      </w:tr>
    </w:tbl>
    <w:sectPr w:rsidR="00FC693F" w:rsidRPr="0006063C" w:rsidSect="00034616">
      <w:headerReference w:type="default" r:id="rId9"/>
      <w:footerReference w:type="default" r:id="rId10"/>
      <w:footerReference w:type="first" r:id="rId11"/>
      <w:pgSz w:w="12240" w:h="15840"/>
      <w:pgMar w:top="835" w:right="1037" w:bottom="792" w:left="103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A5560"/>
        <w:sz w:val="16"/>
      </w:rPr>
      <w:t xml:space="preserve">Independent template for adaptation by the provider   |   cqcconsultancy.net   |   Page </w:t>
    </w:r>
    <w:fldSimple w:instr="PAGE">
      <w:r>
        <w:rPr>
          <w:sz w:val="16"/>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A5560"/>
        <w:sz w:val="16"/>
      </w:rPr>
      <w:t xml:space="preserve">Independent template for adaptation by the provider   |   cqcconsultancy.net   |   Page </w:t>
    </w:r>
    <w:fldSimple w:instr="PAGE">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A5560"/>
        <w:sz w:val="16"/>
      </w:rPr>
      <w:t>CQC CONSULTANCY   |   DENTAL GOVERNANCE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4" w:line="250" w:lineRule="auto"/>
    </w:pPr>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Display" w:hAnsi="Aptos Display"/>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20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contextualSpacing/>
    </w:pPr>
    <w:rPr>
      <w:rFonts w:ascii="Aptos" w:hAnsi="Aptos"/>
      <w:sz w:val="20"/>
    </w:rPr>
  </w:style>
  <w:style w:type="paragraph" w:styleId="ListBullet2">
    <w:name w:val="List Bullet 2"/>
    <w:basedOn w:val="Normal"/>
    <w:uiPriority w:val="99"/>
    <w:unhideWhenUsed/>
    <w:rsid w:val="00326F90"/>
    <w:pPr>
      <w:numPr>
        <w:numId w:val="2"/>
      </w:numPr>
      <w:spacing w:after="30" w:line="240" w:lineRule="auto"/>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line="240" w:lineRule="auto"/>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Governance and Quality Assurance Policy Template</dc:title>
  <dc:subject>Editable CQC governance policy template for dental providers</dc:subject>
  <dc:creator>CQC Consultancy</dc:creator>
  <cp:keywords>CQC, dental practice, governance, quality assurance, Regulation 17</cp:keywords>
  <dc:description>generated by python-docx</dc:description>
  <cp:lastModifiedBy/>
  <cp:revision>1</cp:revision>
  <dcterms:created xsi:type="dcterms:W3CDTF">2013-12-23T23:15:00Z</dcterms:created>
  <dcterms:modified xsi:type="dcterms:W3CDTF">2013-12-23T23:15:00Z</dcterms:modified>
  <cp:category/>
</cp:coreProperties>
</file>